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2249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卖家协议;</w:t>
      </w:r>
    </w:p>
    <w:p w14:paraId="71D101F7" w14:textId="1BD9FBC2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(1) 本次竞标标的物为我司套筒中心</w:t>
      </w:r>
      <w:r w:rsidR="0006477B" w:rsidRPr="00B547E3">
        <w:rPr>
          <w:rFonts w:ascii="仿宋" w:eastAsia="仿宋" w:hAnsi="仿宋" w:hint="eastAsia"/>
          <w:sz w:val="28"/>
          <w:szCs w:val="28"/>
        </w:rPr>
        <w:t>废钢再利用品</w:t>
      </w:r>
      <w:r w:rsidRPr="0006477B">
        <w:rPr>
          <w:rFonts w:ascii="仿宋" w:eastAsia="仿宋" w:hAnsi="仿宋" w:hint="eastAsia"/>
          <w:sz w:val="28"/>
          <w:szCs w:val="28"/>
        </w:rPr>
        <w:t>。表中重量为月度估算量，中标结算以实际重量为准。</w:t>
      </w:r>
    </w:p>
    <w:p w14:paraId="7A454A73" w14:textId="3CA36200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(2) 我司将依据自身经营情况动态调整其他区域的产生</w:t>
      </w:r>
      <w:r w:rsidR="0006477B" w:rsidRPr="00B547E3">
        <w:rPr>
          <w:rFonts w:ascii="仿宋" w:eastAsia="仿宋" w:hAnsi="仿宋" w:hint="eastAsia"/>
          <w:sz w:val="28"/>
          <w:szCs w:val="28"/>
        </w:rPr>
        <w:t>废钢再利用品</w:t>
      </w:r>
      <w:r w:rsidRPr="0006477B">
        <w:rPr>
          <w:rFonts w:ascii="仿宋" w:eastAsia="仿宋" w:hAnsi="仿宋" w:hint="eastAsia"/>
          <w:sz w:val="28"/>
          <w:szCs w:val="28"/>
        </w:rPr>
        <w:t>销售，如有需要，原则上按照2:1（</w:t>
      </w:r>
      <w:r w:rsidR="0006477B" w:rsidRPr="00B547E3">
        <w:rPr>
          <w:rFonts w:ascii="仿宋" w:eastAsia="仿宋" w:hAnsi="仿宋" w:hint="eastAsia"/>
          <w:sz w:val="28"/>
          <w:szCs w:val="28"/>
        </w:rPr>
        <w:t>废轧硬卷再利用品：其他废钢再利用品</w:t>
      </w:r>
      <w:r w:rsidRPr="0006477B">
        <w:rPr>
          <w:rFonts w:ascii="仿宋" w:eastAsia="仿宋" w:hAnsi="仿宋" w:hint="eastAsia"/>
          <w:sz w:val="28"/>
          <w:szCs w:val="28"/>
        </w:rPr>
        <w:t>）比例搭配销售；</w:t>
      </w:r>
    </w:p>
    <w:p w14:paraId="4F46295E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(3) 采用公式化定价，通过网上竞价招一家用户。定价方式：销售价格=废钢价格（参考武钢有限当期低硫一号废钢价格）*1.09+100元/吨+竞拍价差；</w:t>
      </w:r>
    </w:p>
    <w:p w14:paraId="51ADE446" w14:textId="226669CB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(4) 网上竞价保证金</w:t>
      </w:r>
      <w:r w:rsidR="00514CF5">
        <w:rPr>
          <w:rFonts w:ascii="仿宋" w:eastAsia="仿宋" w:hAnsi="仿宋"/>
          <w:sz w:val="28"/>
          <w:szCs w:val="28"/>
        </w:rPr>
        <w:t>10</w:t>
      </w:r>
      <w:r w:rsidRPr="0006477B">
        <w:rPr>
          <w:rFonts w:ascii="仿宋" w:eastAsia="仿宋" w:hAnsi="仿宋" w:hint="eastAsia"/>
          <w:sz w:val="28"/>
          <w:szCs w:val="28"/>
        </w:rPr>
        <w:t>0万元，中标后即签订年度协议并收取合作保证金——100万元；</w:t>
      </w:r>
    </w:p>
    <w:p w14:paraId="171B2534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(5) 5.1标的物的加工整理、装运等过程所需的辅助材料由中标方负责提供，并及时运抵作业现场，不得影响生产。</w:t>
      </w:r>
    </w:p>
    <w:p w14:paraId="076EF238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5.2标的物的加工整理、装运等过程所需作业人员由中标方负责派出。如中标方要保证标的物质量的需要，可派驻跟线作业人员；派出人员必须符合我司相关管理制度规定。</w:t>
      </w:r>
    </w:p>
    <w:p w14:paraId="464EF5E8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5.3中标方需要配备一辆符合武钢车辆进厂规定的交通车辆，用于办理相关手续、单据交换及保产。</w:t>
      </w:r>
    </w:p>
    <w:p w14:paraId="5E3C9B86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5.4标的物加工整理、装运等过程所需计量申请、人员车辆进出厂区手续、过磅等及对应相关发生的费用由中标方负责及承担。</w:t>
      </w:r>
    </w:p>
    <w:p w14:paraId="56274024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t>(6) 进入现场人员须遵守我司的各项规章制度。遵守厂区内各种规章制度，超、限载罚款由中标方承担；</w:t>
      </w:r>
    </w:p>
    <w:p w14:paraId="3AD48476" w14:textId="77777777" w:rsidR="00B41E6D" w:rsidRPr="0006477B" w:rsidRDefault="00000000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  <w:r w:rsidRPr="0006477B">
        <w:rPr>
          <w:rFonts w:ascii="仿宋" w:eastAsia="仿宋" w:hAnsi="仿宋" w:hint="eastAsia"/>
          <w:sz w:val="28"/>
          <w:szCs w:val="28"/>
        </w:rPr>
        <w:lastRenderedPageBreak/>
        <w:t>(7) 违约处理：因我司场地限制，要求中标方每周清运不少于3次（原则上每周一、三、五）。因中标方原因不提货或终止协议，将没收保证金，终止合作并列入公司黑名单。因中标方提货不及时影响物流的，造成转库或转卖，由此产生的损失从保证金中扣除。</w:t>
      </w:r>
    </w:p>
    <w:p w14:paraId="05EA857A" w14:textId="77777777" w:rsidR="00B41E6D" w:rsidRPr="0006477B" w:rsidRDefault="00B41E6D" w:rsidP="0006477B">
      <w:pPr>
        <w:pStyle w:val="a4"/>
        <w:ind w:left="720" w:firstLineChars="0" w:hanging="360"/>
        <w:rPr>
          <w:rFonts w:ascii="仿宋" w:eastAsia="仿宋" w:hAnsi="仿宋"/>
          <w:sz w:val="28"/>
          <w:szCs w:val="28"/>
        </w:rPr>
      </w:pPr>
    </w:p>
    <w:sectPr w:rsidR="00B41E6D" w:rsidRPr="00064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E368" w14:textId="77777777" w:rsidR="00D14AC8" w:rsidRDefault="00D14AC8" w:rsidP="00514CF5">
      <w:r>
        <w:separator/>
      </w:r>
    </w:p>
  </w:endnote>
  <w:endnote w:type="continuationSeparator" w:id="0">
    <w:p w14:paraId="39DF38AA" w14:textId="77777777" w:rsidR="00D14AC8" w:rsidRDefault="00D14AC8" w:rsidP="005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45CF" w14:textId="77777777" w:rsidR="00D14AC8" w:rsidRDefault="00D14AC8" w:rsidP="00514CF5">
      <w:r>
        <w:separator/>
      </w:r>
    </w:p>
  </w:footnote>
  <w:footnote w:type="continuationSeparator" w:id="0">
    <w:p w14:paraId="21A04F7A" w14:textId="77777777" w:rsidR="00D14AC8" w:rsidRDefault="00D14AC8" w:rsidP="0051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SO_WPS_MARK_KEY" w:val="57fce761-8568-4aa3-ae3d-67b14a1334d3"/>
  </w:docVars>
  <w:rsids>
    <w:rsidRoot w:val="00AA63C4"/>
    <w:rsid w:val="0006477B"/>
    <w:rsid w:val="00101C09"/>
    <w:rsid w:val="00400502"/>
    <w:rsid w:val="004330F8"/>
    <w:rsid w:val="004F31D8"/>
    <w:rsid w:val="00514CF5"/>
    <w:rsid w:val="005D2270"/>
    <w:rsid w:val="007C4AAC"/>
    <w:rsid w:val="00A3172C"/>
    <w:rsid w:val="00AA63C4"/>
    <w:rsid w:val="00B41E6D"/>
    <w:rsid w:val="00C725AC"/>
    <w:rsid w:val="00D14AC8"/>
    <w:rsid w:val="655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B7D33"/>
  <w15:docId w15:val="{67194A5B-98F4-4C53-90DF-AD71E5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6477B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514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4CF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4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4C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王 威</cp:lastModifiedBy>
  <cp:revision>8</cp:revision>
  <cp:lastPrinted>2022-12-13T01:51:00Z</cp:lastPrinted>
  <dcterms:created xsi:type="dcterms:W3CDTF">2022-12-13T01:42:00Z</dcterms:created>
  <dcterms:modified xsi:type="dcterms:W3CDTF">2022-12-14T04:34:00Z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3FA95B36D348405181ABE7384F3D6C8B</vt:lpwstr>
  </property>
</Properties>
</file>