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4EE7E">
      <w:pPr>
        <w:widowControl/>
        <w:spacing w:line="360" w:lineRule="auto"/>
        <w:jc w:val="center"/>
        <w:rPr>
          <w:rFonts w:ascii="黑体" w:eastAsia="黑体" w:cs="宋体"/>
          <w:bCs/>
          <w:color w:val="3C3C3C"/>
          <w:kern w:val="0"/>
          <w:sz w:val="36"/>
          <w:szCs w:val="36"/>
        </w:rPr>
      </w:pPr>
      <w:r>
        <w:rPr>
          <w:rFonts w:hint="eastAsia" w:ascii="黑体" w:eastAsia="黑体" w:cs="宋体"/>
          <w:bCs/>
          <w:color w:val="3C3C3C"/>
          <w:kern w:val="0"/>
          <w:sz w:val="36"/>
          <w:szCs w:val="36"/>
        </w:rPr>
        <w:t>安阳钢铁股份有限公司水渣产品竞价销售预告</w:t>
      </w:r>
    </w:p>
    <w:p w14:paraId="0B32C971">
      <w:pPr>
        <w:widowControl/>
        <w:spacing w:line="360" w:lineRule="auto"/>
        <w:jc w:val="left"/>
        <w:rPr>
          <w:rFonts w:ascii="黑体" w:eastAsia="黑体" w:cs="宋体"/>
          <w:color w:val="3C3C3C"/>
          <w:kern w:val="0"/>
          <w:sz w:val="32"/>
          <w:szCs w:val="32"/>
        </w:rPr>
      </w:pPr>
    </w:p>
    <w:p w14:paraId="47916FE0">
      <w:pPr>
        <w:widowControl/>
        <w:spacing w:line="360" w:lineRule="auto"/>
        <w:jc w:val="left"/>
        <w:rPr>
          <w:rFonts w:ascii="黑体" w:eastAsia="黑体" w:cs="宋体"/>
          <w:color w:val="3C3C3C"/>
          <w:kern w:val="0"/>
          <w:sz w:val="30"/>
          <w:szCs w:val="30"/>
        </w:rPr>
      </w:pPr>
      <w:r>
        <w:rPr>
          <w:rFonts w:hint="eastAsia" w:ascii="黑体" w:eastAsia="黑体" w:cs="宋体"/>
          <w:color w:val="3C3C3C"/>
          <w:kern w:val="0"/>
          <w:sz w:val="30"/>
          <w:szCs w:val="30"/>
        </w:rPr>
        <w:t>一、标的物及运输说明</w:t>
      </w:r>
    </w:p>
    <w:p w14:paraId="7EFEAC4B">
      <w:pPr>
        <w:widowControl/>
        <w:spacing w:line="360" w:lineRule="auto"/>
        <w:ind w:firstLine="602" w:firstLineChars="200"/>
        <w:jc w:val="left"/>
        <w:rPr>
          <w:rFonts w:ascii="仿宋_GB2312" w:eastAsia="仿宋_GB2312" w:cs="宋体"/>
          <w:color w:val="3C3C3C"/>
          <w:kern w:val="0"/>
          <w:sz w:val="30"/>
          <w:szCs w:val="30"/>
        </w:rPr>
      </w:pPr>
      <w:r>
        <w:rPr>
          <w:rFonts w:hint="eastAsia" w:ascii="仿宋_GB2312" w:eastAsia="仿宋_GB2312" w:cs="宋体"/>
          <w:b/>
          <w:color w:val="3C3C3C"/>
          <w:kern w:val="0"/>
          <w:sz w:val="30"/>
          <w:szCs w:val="30"/>
        </w:rPr>
        <w:t>1、竞价产品：</w:t>
      </w:r>
      <w:r>
        <w:rPr>
          <w:rFonts w:hint="eastAsia" w:ascii="仿宋_GB2312" w:eastAsia="仿宋_GB2312" w:cs="宋体"/>
          <w:color w:val="3C3C3C"/>
          <w:kern w:val="0"/>
          <w:sz w:val="30"/>
          <w:szCs w:val="30"/>
        </w:rPr>
        <w:t>水渣（白水渣、3#白水渣）</w:t>
      </w:r>
    </w:p>
    <w:p w14:paraId="5FC1DA7E">
      <w:pPr>
        <w:widowControl/>
        <w:spacing w:line="360" w:lineRule="auto"/>
        <w:ind w:firstLine="602" w:firstLineChars="200"/>
        <w:jc w:val="left"/>
        <w:rPr>
          <w:rFonts w:hint="eastAsia" w:ascii="仿宋_GB2312" w:eastAsia="仿宋_GB2312" w:cs="宋体"/>
          <w:color w:val="3C3C3C"/>
          <w:kern w:val="0"/>
          <w:sz w:val="30"/>
          <w:szCs w:val="30"/>
        </w:rPr>
      </w:pPr>
      <w:r>
        <w:rPr>
          <w:rFonts w:hint="eastAsia" w:ascii="仿宋_GB2312" w:eastAsia="仿宋_GB2312" w:cs="宋体"/>
          <w:b/>
          <w:color w:val="3C3C3C"/>
          <w:kern w:val="0"/>
          <w:sz w:val="30"/>
          <w:szCs w:val="30"/>
        </w:rPr>
        <w:t>2、竞价标期：</w:t>
      </w:r>
      <w:r>
        <w:rPr>
          <w:rFonts w:hint="eastAsia" w:ascii="仿宋_GB2312" w:eastAsia="仿宋_GB2312" w:cs="宋体"/>
          <w:color w:val="3C3C3C"/>
          <w:kern w:val="0"/>
          <w:sz w:val="30"/>
          <w:szCs w:val="30"/>
        </w:rPr>
        <w:t>202</w:t>
      </w:r>
      <w:r>
        <w:rPr>
          <w:rFonts w:hint="eastAsia" w:ascii="仿宋_GB2312" w:eastAsia="仿宋_GB2312" w:cs="宋体"/>
          <w:color w:val="3C3C3C"/>
          <w:kern w:val="0"/>
          <w:sz w:val="30"/>
          <w:szCs w:val="30"/>
          <w:lang w:val="en-US" w:eastAsia="zh-CN"/>
        </w:rPr>
        <w:t>5</w:t>
      </w:r>
      <w:r>
        <w:rPr>
          <w:rFonts w:hint="eastAsia" w:ascii="仿宋_GB2312" w:eastAsia="仿宋_GB2312" w:cs="宋体"/>
          <w:color w:val="3C3C3C"/>
          <w:kern w:val="0"/>
          <w:sz w:val="30"/>
          <w:szCs w:val="30"/>
        </w:rPr>
        <w:t>年</w:t>
      </w:r>
      <w:r>
        <w:rPr>
          <w:rFonts w:hint="eastAsia" w:ascii="仿宋_GB2312" w:eastAsia="仿宋_GB2312" w:cs="宋体"/>
          <w:color w:val="3C3C3C"/>
          <w:kern w:val="0"/>
          <w:sz w:val="30"/>
          <w:szCs w:val="30"/>
          <w:lang w:val="en-US" w:eastAsia="zh-CN"/>
        </w:rPr>
        <w:t>03</w:t>
      </w:r>
      <w:r>
        <w:rPr>
          <w:rFonts w:hint="eastAsia" w:ascii="仿宋_GB2312" w:eastAsia="仿宋_GB2312" w:cs="宋体"/>
          <w:color w:val="3C3C3C"/>
          <w:kern w:val="0"/>
          <w:sz w:val="30"/>
          <w:szCs w:val="30"/>
        </w:rPr>
        <w:t>月</w:t>
      </w:r>
      <w:r>
        <w:rPr>
          <w:rFonts w:hint="eastAsia" w:ascii="仿宋_GB2312" w:eastAsia="仿宋_GB2312" w:cs="宋体"/>
          <w:color w:val="3C3C3C"/>
          <w:kern w:val="0"/>
          <w:sz w:val="30"/>
          <w:szCs w:val="30"/>
          <w:lang w:val="en-US" w:eastAsia="zh-CN"/>
        </w:rPr>
        <w:t>18</w:t>
      </w:r>
      <w:r>
        <w:rPr>
          <w:rFonts w:hint="eastAsia" w:ascii="仿宋_GB2312" w:eastAsia="仿宋_GB2312" w:cs="宋体"/>
          <w:color w:val="3C3C3C"/>
          <w:kern w:val="0"/>
          <w:sz w:val="30"/>
          <w:szCs w:val="30"/>
        </w:rPr>
        <w:t>日零时—202</w:t>
      </w:r>
      <w:r>
        <w:rPr>
          <w:rFonts w:hint="eastAsia" w:ascii="仿宋_GB2312" w:eastAsia="仿宋_GB2312" w:cs="宋体"/>
          <w:color w:val="3C3C3C"/>
          <w:kern w:val="0"/>
          <w:sz w:val="30"/>
          <w:szCs w:val="30"/>
          <w:lang w:val="en-US" w:eastAsia="zh-CN"/>
        </w:rPr>
        <w:t>5</w:t>
      </w:r>
      <w:r>
        <w:rPr>
          <w:rFonts w:hint="eastAsia" w:ascii="仿宋_GB2312" w:eastAsia="仿宋_GB2312" w:cs="宋体"/>
          <w:color w:val="3C3C3C"/>
          <w:kern w:val="0"/>
          <w:sz w:val="30"/>
          <w:szCs w:val="30"/>
        </w:rPr>
        <w:t>年</w:t>
      </w:r>
      <w:r>
        <w:rPr>
          <w:rFonts w:hint="eastAsia" w:ascii="仿宋_GB2312" w:eastAsia="仿宋_GB2312" w:cs="宋体"/>
          <w:color w:val="3C3C3C"/>
          <w:kern w:val="0"/>
          <w:sz w:val="30"/>
          <w:szCs w:val="30"/>
          <w:lang w:val="en-US" w:eastAsia="zh-CN"/>
        </w:rPr>
        <w:t>03</w:t>
      </w:r>
      <w:r>
        <w:rPr>
          <w:rFonts w:hint="eastAsia" w:ascii="仿宋_GB2312" w:eastAsia="仿宋_GB2312" w:cs="宋体"/>
          <w:color w:val="3C3C3C"/>
          <w:kern w:val="0"/>
          <w:sz w:val="30"/>
          <w:szCs w:val="30"/>
        </w:rPr>
        <w:t>月</w:t>
      </w:r>
      <w:r>
        <w:rPr>
          <w:rFonts w:hint="eastAsia" w:ascii="仿宋_GB2312" w:eastAsia="仿宋_GB2312" w:cs="宋体"/>
          <w:color w:val="3C3C3C"/>
          <w:kern w:val="0"/>
          <w:sz w:val="30"/>
          <w:szCs w:val="30"/>
          <w:lang w:val="en-US" w:eastAsia="zh-CN"/>
        </w:rPr>
        <w:t>27</w:t>
      </w:r>
      <w:r>
        <w:rPr>
          <w:rFonts w:hint="eastAsia" w:ascii="仿宋_GB2312" w:eastAsia="仿宋_GB2312" w:cs="宋体"/>
          <w:color w:val="3C3C3C"/>
          <w:kern w:val="0"/>
          <w:sz w:val="30"/>
          <w:szCs w:val="30"/>
        </w:rPr>
        <w:t>日24时。</w:t>
      </w:r>
    </w:p>
    <w:p w14:paraId="10CE6864">
      <w:pPr>
        <w:keepNext w:val="0"/>
        <w:keepLines w:val="0"/>
        <w:pageBreakBefore w:val="0"/>
        <w:kinsoku/>
        <w:wordWrap/>
        <w:overflowPunct/>
        <w:topLinePunct w:val="0"/>
        <w:autoSpaceDE/>
        <w:autoSpaceDN/>
        <w:bidi w:val="0"/>
        <w:adjustRightInd/>
        <w:spacing w:line="440" w:lineRule="exact"/>
        <w:ind w:firstLine="602" w:firstLineChars="200"/>
        <w:rPr>
          <w:rFonts w:hint="eastAsia" w:ascii="宋体" w:hAnsi="宋体" w:cs="宋体"/>
          <w:color w:val="FF0000"/>
          <w:sz w:val="28"/>
          <w:szCs w:val="28"/>
          <w:lang w:val="en-US" w:eastAsia="zh-CN"/>
        </w:rPr>
      </w:pPr>
      <w:r>
        <w:rPr>
          <w:rFonts w:hint="eastAsia" w:ascii="仿宋_GB2312" w:eastAsia="仿宋_GB2312" w:cs="宋体"/>
          <w:b/>
          <w:color w:val="3C3C3C"/>
          <w:kern w:val="0"/>
          <w:sz w:val="30"/>
          <w:szCs w:val="30"/>
        </w:rPr>
        <w:t>3、竞价数量及分配</w:t>
      </w:r>
      <w:r>
        <w:rPr>
          <w:rFonts w:hint="eastAsia" w:ascii="仿宋_GB2312" w:eastAsia="仿宋_GB2312" w:cs="宋体"/>
          <w:b/>
          <w:color w:val="3C3C3C"/>
          <w:kern w:val="0"/>
          <w:sz w:val="30"/>
          <w:szCs w:val="30"/>
          <w:lang w:eastAsia="zh-CN"/>
        </w:rPr>
        <w:t>：</w:t>
      </w:r>
      <w:r>
        <w:rPr>
          <w:rFonts w:hint="eastAsia" w:ascii="仿宋_GB2312" w:eastAsia="仿宋_GB2312" w:cs="宋体"/>
          <w:b w:val="0"/>
          <w:bCs/>
          <w:color w:val="3C3C3C"/>
          <w:kern w:val="0"/>
          <w:sz w:val="30"/>
          <w:szCs w:val="30"/>
          <w:lang w:val="en-US" w:eastAsia="zh-CN"/>
        </w:rPr>
        <w:t>50000</w:t>
      </w:r>
      <w:r>
        <w:rPr>
          <w:rFonts w:hint="eastAsia" w:ascii="仿宋_GB2312" w:eastAsia="仿宋_GB2312" w:cs="宋体"/>
          <w:color w:val="3C3C3C"/>
          <w:kern w:val="0"/>
          <w:sz w:val="30"/>
          <w:szCs w:val="30"/>
          <w:lang w:val="en-US" w:eastAsia="zh-CN"/>
        </w:rPr>
        <w:t>吨</w:t>
      </w:r>
      <w:r>
        <w:rPr>
          <w:rFonts w:hint="eastAsia" w:ascii="宋体" w:hAnsi="宋体" w:cs="宋体"/>
          <w:color w:val="FF0000"/>
          <w:sz w:val="28"/>
          <w:szCs w:val="28"/>
          <w:lang w:val="en-US" w:eastAsia="zh-CN"/>
        </w:rPr>
        <w:t xml:space="preserve">（此为预估量，具体数量及分配以正式公告为准。） </w:t>
      </w:r>
    </w:p>
    <w:p w14:paraId="2348DCC8">
      <w:pPr>
        <w:keepNext w:val="0"/>
        <w:keepLines w:val="0"/>
        <w:pageBreakBefore w:val="0"/>
        <w:widowControl/>
        <w:kinsoku/>
        <w:wordWrap/>
        <w:overflowPunct/>
        <w:topLinePunct w:val="0"/>
        <w:autoSpaceDE/>
        <w:autoSpaceDN/>
        <w:bidi w:val="0"/>
        <w:adjustRightInd/>
        <w:spacing w:line="440" w:lineRule="exact"/>
        <w:ind w:firstLine="600" w:firstLineChars="200"/>
        <w:jc w:val="left"/>
        <w:rPr>
          <w:rFonts w:hint="eastAsia" w:ascii="仿宋_GB2312" w:eastAsia="仿宋_GB2312" w:cs="宋体"/>
          <w:color w:val="3C3C3C"/>
          <w:kern w:val="0"/>
          <w:sz w:val="30"/>
          <w:szCs w:val="30"/>
        </w:rPr>
      </w:pPr>
      <w:r>
        <w:rPr>
          <w:rFonts w:hint="eastAsia" w:ascii="仿宋_GB2312" w:eastAsia="仿宋_GB2312" w:cs="宋体"/>
          <w:color w:val="3C3C3C"/>
          <w:kern w:val="0"/>
          <w:sz w:val="30"/>
          <w:szCs w:val="30"/>
        </w:rPr>
        <w:t>根据生产实际，3#高炉每日水渣量约为</w:t>
      </w:r>
      <w:r>
        <w:rPr>
          <w:rFonts w:hint="eastAsia" w:ascii="仿宋_GB2312" w:eastAsia="仿宋_GB2312" w:cs="宋体"/>
          <w:color w:val="3C3C3C"/>
          <w:kern w:val="0"/>
          <w:sz w:val="30"/>
          <w:szCs w:val="30"/>
          <w:lang w:val="en-US" w:eastAsia="zh-CN"/>
        </w:rPr>
        <w:t>3000</w:t>
      </w:r>
      <w:r>
        <w:rPr>
          <w:rFonts w:hint="eastAsia" w:ascii="仿宋_GB2312" w:eastAsia="仿宋_GB2312" w:cs="宋体"/>
          <w:color w:val="3C3C3C"/>
          <w:kern w:val="0"/>
          <w:sz w:val="30"/>
          <w:szCs w:val="30"/>
        </w:rPr>
        <w:t>吨</w:t>
      </w:r>
      <w:r>
        <w:rPr>
          <w:rFonts w:hint="eastAsia" w:ascii="仿宋_GB2312" w:eastAsia="仿宋_GB2312" w:cs="宋体"/>
          <w:color w:val="3C3C3C"/>
          <w:kern w:val="0"/>
          <w:sz w:val="30"/>
          <w:szCs w:val="30"/>
          <w:lang w:eastAsia="zh-CN"/>
        </w:rPr>
        <w:t>，</w:t>
      </w:r>
      <w:r>
        <w:rPr>
          <w:rFonts w:hint="eastAsia" w:ascii="仿宋_GB2312" w:eastAsia="仿宋_GB2312" w:cs="宋体"/>
          <w:b w:val="0"/>
          <w:bCs w:val="0"/>
          <w:color w:val="3C3C3C"/>
          <w:kern w:val="0"/>
          <w:sz w:val="30"/>
          <w:szCs w:val="30"/>
        </w:rPr>
        <w:t>东垮水渣每日</w:t>
      </w:r>
      <w:r>
        <w:rPr>
          <w:rFonts w:hint="eastAsia" w:ascii="仿宋_GB2312" w:eastAsia="仿宋_GB2312" w:cs="宋体"/>
          <w:b w:val="0"/>
          <w:bCs w:val="0"/>
          <w:color w:val="3C3C3C"/>
          <w:kern w:val="0"/>
          <w:sz w:val="30"/>
          <w:szCs w:val="30"/>
          <w:lang w:val="en-US" w:eastAsia="zh-CN"/>
        </w:rPr>
        <w:t>2000</w:t>
      </w:r>
      <w:r>
        <w:rPr>
          <w:rFonts w:hint="eastAsia" w:ascii="仿宋_GB2312" w:eastAsia="仿宋_GB2312" w:cs="宋体"/>
          <w:b w:val="0"/>
          <w:bCs w:val="0"/>
          <w:color w:val="3C3C3C"/>
          <w:kern w:val="0"/>
          <w:sz w:val="30"/>
          <w:szCs w:val="30"/>
        </w:rPr>
        <w:t>吨与3#高炉水渣绑定销售。</w:t>
      </w:r>
      <w:r>
        <w:rPr>
          <w:rFonts w:hint="eastAsia" w:ascii="仿宋_GB2312" w:eastAsia="仿宋_GB2312" w:cs="宋体"/>
          <w:color w:val="FF0000"/>
          <w:kern w:val="0"/>
          <w:sz w:val="30"/>
          <w:szCs w:val="30"/>
        </w:rPr>
        <w:t>（具体分配量见附表）</w:t>
      </w:r>
      <w:r>
        <w:rPr>
          <w:rFonts w:hint="eastAsia" w:ascii="仿宋_GB2312" w:eastAsia="仿宋_GB2312" w:cs="宋体"/>
          <w:color w:val="3C3C3C"/>
          <w:kern w:val="0"/>
          <w:sz w:val="30"/>
          <w:szCs w:val="30"/>
        </w:rPr>
        <w:t>。</w:t>
      </w:r>
      <w:r>
        <w:rPr>
          <w:rFonts w:hint="eastAsia" w:ascii="仿宋_GB2312" w:eastAsia="仿宋_GB2312" w:cs="宋体"/>
          <w:b w:val="0"/>
          <w:bCs w:val="0"/>
          <w:color w:val="000000" w:themeColor="text1"/>
          <w:kern w:val="0"/>
          <w:sz w:val="30"/>
          <w:szCs w:val="30"/>
        </w:rPr>
        <w:t>涉及高炉检修或3</w:t>
      </w:r>
      <w:r>
        <w:rPr>
          <w:rFonts w:hint="eastAsia" w:ascii="仿宋_GB2312" w:eastAsia="仿宋_GB2312" w:cs="宋体"/>
          <w:b w:val="0"/>
          <w:bCs w:val="0"/>
          <w:color w:val="000000" w:themeColor="text1"/>
          <w:kern w:val="0"/>
          <w:sz w:val="30"/>
          <w:szCs w:val="30"/>
          <w:vertAlign w:val="superscript"/>
        </w:rPr>
        <w:t>#</w:t>
      </w:r>
      <w:r>
        <w:rPr>
          <w:rFonts w:hint="eastAsia" w:ascii="仿宋_GB2312" w:eastAsia="仿宋_GB2312" w:cs="宋体"/>
          <w:b w:val="0"/>
          <w:bCs w:val="0"/>
          <w:color w:val="000000" w:themeColor="text1"/>
          <w:kern w:val="0"/>
          <w:sz w:val="30"/>
          <w:szCs w:val="30"/>
        </w:rPr>
        <w:t>高炉“公转铁”项目带来的水渣数量减少以实际数量同比例调整，</w:t>
      </w:r>
      <w:r>
        <w:rPr>
          <w:rFonts w:hint="eastAsia" w:ascii="仿宋_GB2312" w:eastAsia="仿宋_GB2312" w:cs="宋体"/>
          <w:color w:val="3C3C3C"/>
          <w:kern w:val="0"/>
          <w:sz w:val="30"/>
          <w:szCs w:val="30"/>
        </w:rPr>
        <w:t>实际销售数量以安钢过磅计量为准。</w:t>
      </w:r>
    </w:p>
    <w:p w14:paraId="3DF4CF12">
      <w:pPr>
        <w:keepNext w:val="0"/>
        <w:keepLines w:val="0"/>
        <w:pageBreakBefore w:val="0"/>
        <w:widowControl/>
        <w:kinsoku/>
        <w:wordWrap/>
        <w:overflowPunct/>
        <w:topLinePunct w:val="0"/>
        <w:autoSpaceDE/>
        <w:autoSpaceDN/>
        <w:bidi w:val="0"/>
        <w:adjustRightInd/>
        <w:spacing w:line="440" w:lineRule="exact"/>
        <w:jc w:val="left"/>
        <w:rPr>
          <w:rFonts w:hint="eastAsia" w:ascii="仿宋_GB2312" w:eastAsia="仿宋_GB2312" w:cs="宋体"/>
          <w:b/>
          <w:bCs/>
          <w:color w:val="3C3C3C"/>
          <w:kern w:val="0"/>
          <w:sz w:val="30"/>
          <w:szCs w:val="30"/>
          <w:lang w:eastAsia="zh-CN"/>
        </w:rPr>
      </w:pPr>
      <w:r>
        <w:rPr>
          <w:rFonts w:hint="eastAsia" w:ascii="仿宋_GB2312" w:eastAsia="仿宋_GB2312" w:cs="宋体"/>
          <w:b/>
          <w:bCs/>
          <w:color w:val="3C3C3C"/>
          <w:kern w:val="0"/>
          <w:sz w:val="30"/>
          <w:szCs w:val="30"/>
          <w:lang w:eastAsia="zh-CN"/>
        </w:rPr>
        <w:t>附表：</w:t>
      </w:r>
    </w:p>
    <w:tbl>
      <w:tblPr>
        <w:tblStyle w:val="6"/>
        <w:tblW w:w="8458" w:type="dxa"/>
        <w:tblInd w:w="0" w:type="dxa"/>
        <w:shd w:val="clear" w:color="auto" w:fill="auto"/>
        <w:tblLayout w:type="fixed"/>
        <w:tblCellMar>
          <w:top w:w="0" w:type="dxa"/>
          <w:left w:w="0" w:type="dxa"/>
          <w:bottom w:w="0" w:type="dxa"/>
          <w:right w:w="0" w:type="dxa"/>
        </w:tblCellMar>
      </w:tblPr>
      <w:tblGrid>
        <w:gridCol w:w="1501"/>
        <w:gridCol w:w="1172"/>
        <w:gridCol w:w="1157"/>
        <w:gridCol w:w="1175"/>
        <w:gridCol w:w="1121"/>
        <w:gridCol w:w="1157"/>
        <w:gridCol w:w="1175"/>
      </w:tblGrid>
      <w:tr w14:paraId="33BA01C1">
        <w:tblPrEx>
          <w:shd w:val="clear" w:color="auto" w:fill="auto"/>
          <w:tblCellMar>
            <w:top w:w="0" w:type="dxa"/>
            <w:left w:w="0" w:type="dxa"/>
            <w:bottom w:w="0" w:type="dxa"/>
            <w:right w:w="0" w:type="dxa"/>
          </w:tblCellMar>
        </w:tblPrEx>
        <w:trPr>
          <w:trHeight w:val="417" w:hRule="atLeast"/>
        </w:trPr>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9CD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标次</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DF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1家中标</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BC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1中1跟</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AE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1中2跟</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63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1中3跟</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872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1中4跟</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7DCB">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1中5跟</w:t>
            </w:r>
          </w:p>
        </w:tc>
      </w:tr>
      <w:tr w14:paraId="35FCDC0B">
        <w:tblPrEx>
          <w:shd w:val="clear" w:color="auto" w:fill="auto"/>
          <w:tblCellMar>
            <w:top w:w="0" w:type="dxa"/>
            <w:left w:w="0" w:type="dxa"/>
            <w:bottom w:w="0" w:type="dxa"/>
            <w:right w:w="0" w:type="dxa"/>
          </w:tblCellMar>
        </w:tblPrEx>
        <w:trPr>
          <w:trHeight w:val="417" w:hRule="atLeast"/>
        </w:trPr>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15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第一标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BD04">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kern w:val="0"/>
                <w:sz w:val="24"/>
                <w:szCs w:val="24"/>
                <w:u w:val="none"/>
                <w:lang w:val="en-US" w:eastAsia="zh-CN" w:bidi="ar"/>
              </w:rPr>
              <w:t>5000</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D468">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3000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32D79">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2200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FBC2">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1700</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11ADB">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kern w:val="0"/>
                <w:sz w:val="24"/>
                <w:szCs w:val="24"/>
                <w:u w:val="none"/>
                <w:lang w:val="en-US" w:eastAsia="zh-CN" w:bidi="ar"/>
              </w:rPr>
              <w:t>1400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253E">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1300</w:t>
            </w:r>
          </w:p>
        </w:tc>
      </w:tr>
      <w:tr w14:paraId="1B614C08">
        <w:tblPrEx>
          <w:shd w:val="clear" w:color="auto" w:fill="auto"/>
          <w:tblCellMar>
            <w:top w:w="0" w:type="dxa"/>
            <w:left w:w="0" w:type="dxa"/>
            <w:bottom w:w="0" w:type="dxa"/>
            <w:right w:w="0" w:type="dxa"/>
          </w:tblCellMar>
        </w:tblPrEx>
        <w:trPr>
          <w:trHeight w:val="417" w:hRule="atLeast"/>
        </w:trPr>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4B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2771D">
            <w:pPr>
              <w:jc w:val="center"/>
              <w:rPr>
                <w:rFonts w:hint="eastAsia" w:ascii="宋体" w:hAnsi="宋体" w:eastAsia="宋体" w:cs="宋体"/>
                <w:i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B7C9">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kern w:val="0"/>
                <w:sz w:val="24"/>
                <w:szCs w:val="24"/>
                <w:u w:val="none"/>
                <w:lang w:val="en-US" w:eastAsia="zh-CN" w:bidi="ar"/>
              </w:rPr>
              <w:t>2000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4A27">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1600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44D27">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1400</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E5D8">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kern w:val="0"/>
                <w:sz w:val="24"/>
                <w:szCs w:val="24"/>
                <w:u w:val="none"/>
                <w:lang w:val="en-US" w:eastAsia="zh-CN" w:bidi="ar"/>
              </w:rPr>
              <w:t>1200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4CC8">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1100</w:t>
            </w:r>
          </w:p>
        </w:tc>
      </w:tr>
      <w:tr w14:paraId="51A74DA1">
        <w:tblPrEx>
          <w:shd w:val="clear" w:color="auto" w:fill="auto"/>
          <w:tblCellMar>
            <w:top w:w="0" w:type="dxa"/>
            <w:left w:w="0" w:type="dxa"/>
            <w:bottom w:w="0" w:type="dxa"/>
            <w:right w:w="0" w:type="dxa"/>
          </w:tblCellMar>
        </w:tblPrEx>
        <w:trPr>
          <w:trHeight w:val="417" w:hRule="atLeast"/>
        </w:trPr>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87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13A6">
            <w:pPr>
              <w:jc w:val="center"/>
              <w:rPr>
                <w:rFonts w:hint="eastAsia" w:ascii="宋体" w:hAnsi="宋体" w:eastAsia="宋体" w:cs="宋体"/>
                <w:i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9698">
            <w:pPr>
              <w:jc w:val="center"/>
              <w:rPr>
                <w:rFonts w:hint="eastAsia" w:ascii="宋体" w:hAnsi="宋体" w:eastAsia="宋体" w:cs="宋体"/>
                <w:i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588F8">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1200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45F5">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FFEFB">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1000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66D76">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900</w:t>
            </w:r>
          </w:p>
        </w:tc>
      </w:tr>
      <w:tr w14:paraId="418D689F">
        <w:tblPrEx>
          <w:shd w:val="clear" w:color="auto" w:fill="auto"/>
          <w:tblCellMar>
            <w:top w:w="0" w:type="dxa"/>
            <w:left w:w="0" w:type="dxa"/>
            <w:bottom w:w="0" w:type="dxa"/>
            <w:right w:w="0" w:type="dxa"/>
          </w:tblCellMar>
        </w:tblPrEx>
        <w:trPr>
          <w:trHeight w:val="417" w:hRule="atLeast"/>
        </w:trPr>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DFD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第四标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1ACF">
            <w:pPr>
              <w:jc w:val="center"/>
              <w:rPr>
                <w:rFonts w:hint="eastAsia" w:ascii="宋体" w:hAnsi="宋体" w:eastAsia="宋体" w:cs="宋体"/>
                <w:i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3F4F6">
            <w:pPr>
              <w:jc w:val="center"/>
              <w:rPr>
                <w:rFonts w:hint="eastAsia" w:ascii="宋体" w:hAnsi="宋体" w:eastAsia="宋体" w:cs="宋体"/>
                <w:i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BAF8">
            <w:pPr>
              <w:jc w:val="center"/>
              <w:rPr>
                <w:rFonts w:hint="eastAsia" w:ascii="宋体" w:hAnsi="宋体" w:eastAsia="宋体" w:cs="宋体"/>
                <w:i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56590">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800</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199F">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kern w:val="0"/>
                <w:sz w:val="24"/>
                <w:szCs w:val="24"/>
                <w:u w:val="none"/>
                <w:lang w:val="en-US" w:eastAsia="zh-CN" w:bidi="ar"/>
              </w:rPr>
              <w:t>800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98883">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700</w:t>
            </w:r>
          </w:p>
        </w:tc>
      </w:tr>
      <w:tr w14:paraId="537C1BB3">
        <w:tblPrEx>
          <w:shd w:val="clear" w:color="auto" w:fill="auto"/>
          <w:tblCellMar>
            <w:top w:w="0" w:type="dxa"/>
            <w:left w:w="0" w:type="dxa"/>
            <w:bottom w:w="0" w:type="dxa"/>
            <w:right w:w="0" w:type="dxa"/>
          </w:tblCellMar>
        </w:tblPrEx>
        <w:trPr>
          <w:trHeight w:val="417" w:hRule="atLeast"/>
        </w:trPr>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448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第五标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0EC8">
            <w:pPr>
              <w:jc w:val="center"/>
              <w:rPr>
                <w:rFonts w:hint="eastAsia" w:ascii="宋体" w:hAnsi="宋体" w:eastAsia="宋体" w:cs="宋体"/>
                <w:i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ACCD8">
            <w:pPr>
              <w:jc w:val="center"/>
              <w:rPr>
                <w:rFonts w:hint="eastAsia" w:ascii="宋体" w:hAnsi="宋体" w:eastAsia="宋体" w:cs="宋体"/>
                <w:i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D95C">
            <w:pPr>
              <w:jc w:val="center"/>
              <w:rPr>
                <w:rFonts w:hint="eastAsia" w:ascii="宋体" w:hAnsi="宋体" w:eastAsia="宋体" w:cs="宋体"/>
                <w:i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E138B">
            <w:pPr>
              <w:jc w:val="center"/>
              <w:rPr>
                <w:rFonts w:hint="eastAsia" w:ascii="宋体" w:hAnsi="宋体" w:eastAsia="宋体" w:cs="宋体"/>
                <w:i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09C22">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600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48750">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600</w:t>
            </w:r>
          </w:p>
        </w:tc>
      </w:tr>
      <w:tr w14:paraId="55A8D0E4">
        <w:tblPrEx>
          <w:shd w:val="clear" w:color="auto" w:fill="auto"/>
          <w:tblCellMar>
            <w:top w:w="0" w:type="dxa"/>
            <w:left w:w="0" w:type="dxa"/>
            <w:bottom w:w="0" w:type="dxa"/>
            <w:right w:w="0" w:type="dxa"/>
          </w:tblCellMar>
        </w:tblPrEx>
        <w:trPr>
          <w:trHeight w:val="417" w:hRule="atLeast"/>
        </w:trPr>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B92F4">
            <w:pPr>
              <w:keepNext w:val="0"/>
              <w:keepLines w:val="0"/>
              <w:widowControl/>
              <w:suppressLineNumbers w:val="0"/>
              <w:jc w:val="center"/>
              <w:textAlignment w:val="center"/>
              <w:rPr>
                <w:rFonts w:hint="eastAsia" w:ascii="宋体" w:hAnsi="宋体" w:eastAsia="宋体" w:cs="宋体"/>
                <w:i w:val="0"/>
                <w:color w:val="FF0000"/>
                <w:kern w:val="0"/>
                <w:sz w:val="24"/>
                <w:szCs w:val="24"/>
                <w:u w:val="none"/>
                <w:lang w:val="en-US" w:eastAsia="zh-CN" w:bidi="ar"/>
              </w:rPr>
            </w:pPr>
            <w:r>
              <w:rPr>
                <w:rFonts w:hint="eastAsia" w:ascii="宋体" w:hAnsi="宋体" w:cs="宋体"/>
                <w:i w:val="0"/>
                <w:color w:val="auto"/>
                <w:kern w:val="0"/>
                <w:sz w:val="24"/>
                <w:szCs w:val="24"/>
                <w:u w:val="none"/>
                <w:lang w:val="en-US" w:eastAsia="zh-CN" w:bidi="ar"/>
              </w:rPr>
              <w:t>第六标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713D">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79DDC">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AD1AD">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B8471">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FC7A">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B1FB5">
            <w:pPr>
              <w:keepNext w:val="0"/>
              <w:keepLines w:val="0"/>
              <w:widowControl/>
              <w:suppressLineNumbers w:val="0"/>
              <w:jc w:val="center"/>
              <w:textAlignment w:val="center"/>
              <w:rPr>
                <w:rFonts w:hint="default" w:ascii="宋体" w:hAnsi="宋体" w:cs="宋体"/>
                <w:i w:val="0"/>
                <w:color w:val="FF0000"/>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400</w:t>
            </w:r>
          </w:p>
        </w:tc>
      </w:tr>
      <w:tr w14:paraId="3E786C57">
        <w:tblPrEx>
          <w:shd w:val="clear" w:color="auto" w:fill="auto"/>
          <w:tblCellMar>
            <w:top w:w="0" w:type="dxa"/>
            <w:left w:w="0" w:type="dxa"/>
            <w:bottom w:w="0" w:type="dxa"/>
            <w:right w:w="0" w:type="dxa"/>
          </w:tblCellMar>
        </w:tblPrEx>
        <w:trPr>
          <w:trHeight w:val="417" w:hRule="atLeast"/>
        </w:trPr>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4261">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第七标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F9869">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4D8A2">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E70A">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A2060">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10502">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0FC6">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p>
        </w:tc>
      </w:tr>
      <w:tr w14:paraId="14A79DF5">
        <w:tblPrEx>
          <w:shd w:val="clear" w:color="auto" w:fill="auto"/>
          <w:tblCellMar>
            <w:top w:w="0" w:type="dxa"/>
            <w:left w:w="0" w:type="dxa"/>
            <w:bottom w:w="0" w:type="dxa"/>
            <w:right w:w="0" w:type="dxa"/>
          </w:tblCellMar>
        </w:tblPrEx>
        <w:trPr>
          <w:trHeight w:val="417" w:hRule="atLeast"/>
        </w:trPr>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F0044">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第八标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95600">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6C006">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6A71E">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F13A">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44B1">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B5E6">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p>
        </w:tc>
      </w:tr>
      <w:tr w14:paraId="1C5607D1">
        <w:tblPrEx>
          <w:shd w:val="clear" w:color="auto" w:fill="auto"/>
          <w:tblCellMar>
            <w:top w:w="0" w:type="dxa"/>
            <w:left w:w="0" w:type="dxa"/>
            <w:bottom w:w="0" w:type="dxa"/>
            <w:right w:w="0" w:type="dxa"/>
          </w:tblCellMar>
        </w:tblPrEx>
        <w:trPr>
          <w:trHeight w:val="449" w:hRule="atLeast"/>
        </w:trPr>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7F48">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合计</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59E36">
            <w:pPr>
              <w:keepNext w:val="0"/>
              <w:keepLines w:val="0"/>
              <w:widowControl/>
              <w:suppressLineNumbers w:val="0"/>
              <w:jc w:val="center"/>
              <w:textAlignment w:val="center"/>
              <w:rPr>
                <w:rFonts w:hint="default" w:ascii="宋体" w:hAnsi="宋体" w:eastAsia="宋体" w:cs="宋体"/>
                <w:i w:val="0"/>
                <w:color w:val="FF0000"/>
                <w:sz w:val="24"/>
                <w:szCs w:val="24"/>
                <w:u w:val="none"/>
                <w:lang w:val="en-US" w:eastAsia="zh-CN"/>
              </w:rPr>
            </w:pPr>
            <w:r>
              <w:rPr>
                <w:rFonts w:hint="eastAsia" w:ascii="宋体" w:hAnsi="宋体" w:cs="宋体"/>
                <w:i w:val="0"/>
                <w:color w:val="FF0000"/>
                <w:kern w:val="0"/>
                <w:sz w:val="24"/>
                <w:szCs w:val="24"/>
                <w:u w:val="none"/>
                <w:lang w:val="en-US" w:eastAsia="zh-CN" w:bidi="ar"/>
              </w:rPr>
              <w:t>5000</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B235">
            <w:pPr>
              <w:keepNext w:val="0"/>
              <w:keepLines w:val="0"/>
              <w:widowControl/>
              <w:suppressLineNumbers w:val="0"/>
              <w:jc w:val="center"/>
              <w:textAlignment w:val="center"/>
              <w:rPr>
                <w:rFonts w:hint="default" w:ascii="宋体" w:hAnsi="宋体" w:eastAsia="宋体" w:cs="宋体"/>
                <w:i w:val="0"/>
                <w:color w:val="FF0000"/>
                <w:sz w:val="24"/>
                <w:szCs w:val="24"/>
                <w:u w:val="none"/>
                <w:lang w:val="en-US" w:eastAsia="zh-CN"/>
              </w:rPr>
            </w:pPr>
            <w:r>
              <w:rPr>
                <w:rFonts w:hint="eastAsia" w:ascii="宋体" w:hAnsi="宋体" w:cs="宋体"/>
                <w:i w:val="0"/>
                <w:color w:val="FF0000"/>
                <w:kern w:val="0"/>
                <w:sz w:val="24"/>
                <w:szCs w:val="24"/>
                <w:u w:val="none"/>
                <w:lang w:val="en-US" w:eastAsia="zh-CN" w:bidi="ar"/>
              </w:rPr>
              <w:t>5000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EADE">
            <w:pPr>
              <w:keepNext w:val="0"/>
              <w:keepLines w:val="0"/>
              <w:widowControl/>
              <w:suppressLineNumbers w:val="0"/>
              <w:jc w:val="center"/>
              <w:textAlignment w:val="center"/>
              <w:rPr>
                <w:rFonts w:hint="default" w:ascii="宋体" w:hAnsi="宋体" w:eastAsia="宋体" w:cs="宋体"/>
                <w:i w:val="0"/>
                <w:color w:val="FF0000"/>
                <w:sz w:val="24"/>
                <w:szCs w:val="24"/>
                <w:u w:val="none"/>
                <w:lang w:val="en-US" w:eastAsia="zh-CN"/>
              </w:rPr>
            </w:pPr>
            <w:r>
              <w:rPr>
                <w:rFonts w:hint="eastAsia" w:ascii="宋体" w:hAnsi="宋体" w:cs="宋体"/>
                <w:i w:val="0"/>
                <w:color w:val="FF0000"/>
                <w:kern w:val="0"/>
                <w:sz w:val="24"/>
                <w:szCs w:val="24"/>
                <w:u w:val="none"/>
                <w:lang w:val="en-US" w:eastAsia="zh-CN" w:bidi="ar"/>
              </w:rPr>
              <w:t>5000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E76A7">
            <w:pPr>
              <w:keepNext w:val="0"/>
              <w:keepLines w:val="0"/>
              <w:widowControl/>
              <w:suppressLineNumbers w:val="0"/>
              <w:jc w:val="center"/>
              <w:textAlignment w:val="center"/>
              <w:rPr>
                <w:rFonts w:hint="default" w:ascii="宋体" w:hAnsi="宋体" w:eastAsia="宋体" w:cs="宋体"/>
                <w:i w:val="0"/>
                <w:color w:val="FF0000"/>
                <w:sz w:val="24"/>
                <w:szCs w:val="24"/>
                <w:u w:val="none"/>
                <w:lang w:val="en-US" w:eastAsia="zh-CN"/>
              </w:rPr>
            </w:pPr>
            <w:r>
              <w:rPr>
                <w:rFonts w:hint="eastAsia" w:ascii="宋体" w:hAnsi="宋体" w:cs="宋体"/>
                <w:i w:val="0"/>
                <w:color w:val="FF0000"/>
                <w:sz w:val="24"/>
                <w:szCs w:val="24"/>
                <w:u w:val="none"/>
                <w:lang w:val="en-US" w:eastAsia="zh-CN"/>
              </w:rPr>
              <w:t>5000</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7C933">
            <w:pPr>
              <w:keepNext w:val="0"/>
              <w:keepLines w:val="0"/>
              <w:widowControl/>
              <w:suppressLineNumbers w:val="0"/>
              <w:jc w:val="center"/>
              <w:textAlignment w:val="center"/>
              <w:rPr>
                <w:rFonts w:hint="default" w:ascii="宋体" w:hAnsi="宋体" w:eastAsia="宋体" w:cs="宋体"/>
                <w:i w:val="0"/>
                <w:color w:val="FF0000"/>
                <w:sz w:val="24"/>
                <w:szCs w:val="24"/>
                <w:u w:val="none"/>
                <w:lang w:val="en-US" w:eastAsia="zh-CN"/>
              </w:rPr>
            </w:pPr>
            <w:r>
              <w:rPr>
                <w:rFonts w:hint="eastAsia" w:ascii="宋体" w:hAnsi="宋体" w:cs="宋体"/>
                <w:i w:val="0"/>
                <w:color w:val="FF0000"/>
                <w:kern w:val="0"/>
                <w:sz w:val="24"/>
                <w:szCs w:val="24"/>
                <w:u w:val="none"/>
                <w:lang w:val="en-US" w:eastAsia="zh-CN" w:bidi="ar"/>
              </w:rPr>
              <w:t>5000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DFD4">
            <w:pPr>
              <w:keepNext w:val="0"/>
              <w:keepLines w:val="0"/>
              <w:widowControl/>
              <w:suppressLineNumbers w:val="0"/>
              <w:jc w:val="center"/>
              <w:textAlignment w:val="center"/>
              <w:rPr>
                <w:rFonts w:hint="default" w:ascii="宋体" w:hAnsi="宋体" w:eastAsia="宋体" w:cs="宋体"/>
                <w:i w:val="0"/>
                <w:color w:val="FF0000"/>
                <w:kern w:val="0"/>
                <w:sz w:val="24"/>
                <w:szCs w:val="24"/>
                <w:u w:val="none"/>
                <w:lang w:val="en-US" w:eastAsia="zh-CN" w:bidi="ar"/>
              </w:rPr>
            </w:pPr>
            <w:r>
              <w:rPr>
                <w:rFonts w:hint="eastAsia" w:ascii="宋体" w:hAnsi="宋体" w:cs="宋体"/>
                <w:i w:val="0"/>
                <w:color w:val="FF0000"/>
                <w:kern w:val="0"/>
                <w:sz w:val="24"/>
                <w:szCs w:val="24"/>
                <w:u w:val="none"/>
                <w:lang w:val="en-US" w:eastAsia="zh-CN" w:bidi="ar"/>
              </w:rPr>
              <w:t>5000</w:t>
            </w:r>
          </w:p>
        </w:tc>
      </w:tr>
    </w:tbl>
    <w:p w14:paraId="73E2C8CA">
      <w:pPr>
        <w:spacing w:line="440" w:lineRule="exact"/>
        <w:ind w:firstLine="602" w:firstLineChars="200"/>
        <w:rPr>
          <w:rFonts w:ascii="仿宋_GB2312" w:eastAsia="仿宋_GB2312" w:cs="宋体"/>
          <w:color w:val="000000"/>
          <w:kern w:val="0"/>
          <w:sz w:val="30"/>
          <w:szCs w:val="30"/>
        </w:rPr>
      </w:pPr>
      <w:r>
        <w:rPr>
          <w:rFonts w:hint="eastAsia" w:ascii="仿宋_GB2312" w:eastAsia="仿宋_GB2312"/>
          <w:b/>
          <w:sz w:val="30"/>
          <w:szCs w:val="30"/>
        </w:rPr>
        <w:t>4、提货运输：</w:t>
      </w:r>
      <w:r>
        <w:rPr>
          <w:rFonts w:hint="eastAsia" w:ascii="仿宋_GB2312" w:eastAsia="仿宋_GB2312" w:cs="宋体"/>
          <w:color w:val="3C3C3C"/>
          <w:kern w:val="0"/>
          <w:sz w:val="30"/>
          <w:szCs w:val="30"/>
        </w:rPr>
        <w:t>安钢集团负责装车，</w:t>
      </w:r>
      <w:r>
        <w:rPr>
          <w:rFonts w:hint="eastAsia" w:ascii="仿宋_GB2312" w:eastAsia="仿宋_GB2312" w:cs="宋体"/>
          <w:color w:val="000000"/>
          <w:kern w:val="0"/>
          <w:sz w:val="30"/>
          <w:szCs w:val="30"/>
        </w:rPr>
        <w:t>中标单位按照</w:t>
      </w:r>
      <w:r>
        <w:rPr>
          <w:rFonts w:hint="eastAsia" w:ascii="仿宋_GB2312" w:eastAsia="仿宋_GB2312" w:cs="宋体"/>
          <w:kern w:val="0"/>
          <w:sz w:val="30"/>
          <w:szCs w:val="30"/>
        </w:rPr>
        <w:t>《安钢钢铁渣业务运输协议》用电动重卡运输、中标单位付运费</w:t>
      </w:r>
      <w:r>
        <w:rPr>
          <w:rFonts w:hint="eastAsia" w:ascii="仿宋_GB2312" w:eastAsia="仿宋_GB2312" w:cs="宋体"/>
          <w:color w:val="000000"/>
          <w:kern w:val="0"/>
          <w:sz w:val="30"/>
          <w:szCs w:val="30"/>
        </w:rPr>
        <w:t>，且必须严格按照标载进行装车。</w:t>
      </w:r>
    </w:p>
    <w:p w14:paraId="7B3F595A">
      <w:pPr>
        <w:spacing w:line="360" w:lineRule="auto"/>
        <w:ind w:firstLine="602" w:firstLineChars="200"/>
        <w:rPr>
          <w:rFonts w:ascii="宋体" w:hAnsi="宋体" w:cs="宋体"/>
          <w:sz w:val="28"/>
          <w:szCs w:val="28"/>
        </w:rPr>
      </w:pPr>
      <w:r>
        <w:rPr>
          <w:rFonts w:hint="eastAsia" w:ascii="宋体" w:hAnsi="宋体" w:cs="仿宋_GB2312"/>
          <w:b/>
          <w:bCs/>
          <w:color w:val="FF0000"/>
          <w:sz w:val="30"/>
        </w:rPr>
        <w:t>5、</w:t>
      </w:r>
      <w:r>
        <w:rPr>
          <w:rFonts w:hint="eastAsia" w:ascii="仿宋_GB2312" w:eastAsia="仿宋_GB2312"/>
          <w:b/>
          <w:color w:val="FF0000"/>
          <w:sz w:val="30"/>
          <w:szCs w:val="30"/>
        </w:rPr>
        <w:t>注意事项：</w:t>
      </w:r>
      <w:r>
        <w:rPr>
          <w:rFonts w:hint="eastAsia" w:ascii="宋体" w:hAnsi="宋体" w:cs="宋体"/>
          <w:sz w:val="28"/>
          <w:szCs w:val="28"/>
        </w:rPr>
        <w:t>投标前投标方应对货物装卸车环境、道路通行状况等情况提前进行调研，综合考虑疫情防控、环保管控、季节特点、春节保供等因素对运价产生的影响。如因对上述情况不了解或未充分考虑而造成未能如期完成运量的，责任由中标方承担。</w:t>
      </w:r>
    </w:p>
    <w:p w14:paraId="06F16775">
      <w:pPr>
        <w:spacing w:line="360" w:lineRule="auto"/>
        <w:ind w:firstLine="560" w:firstLineChars="200"/>
        <w:rPr>
          <w:rFonts w:ascii="仿宋_GB2312" w:eastAsia="仿宋_GB2312" w:cs="宋体"/>
          <w:color w:val="FF0000"/>
          <w:kern w:val="0"/>
          <w:sz w:val="30"/>
          <w:szCs w:val="30"/>
        </w:rPr>
      </w:pPr>
      <w:r>
        <w:rPr>
          <w:rFonts w:hint="eastAsia" w:ascii="宋体" w:hAnsi="宋体" w:cs="宋体"/>
          <w:color w:val="FF0000"/>
          <w:sz w:val="28"/>
          <w:szCs w:val="28"/>
        </w:rPr>
        <w:t>因中标单位原因，在截止时间前当期合同量未完成90%的单位禁止参加此次招标。</w:t>
      </w:r>
    </w:p>
    <w:p w14:paraId="2EDD2FF3">
      <w:pPr>
        <w:widowControl/>
        <w:spacing w:line="360" w:lineRule="auto"/>
        <w:jc w:val="left"/>
        <w:rPr>
          <w:rFonts w:ascii="黑体" w:eastAsia="黑体" w:cs="宋体"/>
          <w:color w:val="3C3C3C"/>
          <w:kern w:val="0"/>
          <w:sz w:val="30"/>
          <w:szCs w:val="30"/>
        </w:rPr>
      </w:pPr>
      <w:r>
        <w:rPr>
          <w:rFonts w:hint="eastAsia" w:ascii="黑体" w:eastAsia="黑体" w:cs="宋体"/>
          <w:color w:val="000000"/>
          <w:kern w:val="0"/>
          <w:sz w:val="30"/>
          <w:szCs w:val="30"/>
        </w:rPr>
        <w:t>二、投标人资质</w:t>
      </w:r>
    </w:p>
    <w:p w14:paraId="2812FCD0">
      <w:pPr>
        <w:widowControl/>
        <w:spacing w:line="36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1、投标单位是安钢集团水渣产品的合格经销商。</w:t>
      </w:r>
    </w:p>
    <w:p w14:paraId="386E1DB8">
      <w:pPr>
        <w:spacing w:line="360" w:lineRule="auto"/>
        <w:ind w:firstLine="600"/>
        <w:rPr>
          <w:rFonts w:ascii="仿宋_GB2312" w:eastAsia="仿宋_GB2312" w:cs="宋体"/>
          <w:color w:val="000000"/>
          <w:kern w:val="0"/>
          <w:sz w:val="30"/>
          <w:szCs w:val="30"/>
        </w:rPr>
      </w:pPr>
      <w:r>
        <w:rPr>
          <w:rFonts w:hint="eastAsia" w:ascii="仿宋_GB2312" w:hAnsi="仿宋_GB2312" w:eastAsia="仿宋_GB2312" w:cs="仿宋_GB2312"/>
          <w:color w:val="000000"/>
          <w:sz w:val="30"/>
        </w:rPr>
        <w:t>2、新参与竞标单位必须是生产型企业，且需经业务人员实地考察合格方可参与。</w:t>
      </w:r>
    </w:p>
    <w:p w14:paraId="6BEA4ED1">
      <w:pPr>
        <w:spacing w:line="360" w:lineRule="auto"/>
        <w:rPr>
          <w:rFonts w:ascii="黑体" w:eastAsia="黑体" w:cs="宋体"/>
          <w:color w:val="000000"/>
          <w:kern w:val="0"/>
          <w:sz w:val="30"/>
          <w:szCs w:val="30"/>
        </w:rPr>
      </w:pPr>
      <w:r>
        <w:rPr>
          <w:rFonts w:hint="eastAsia" w:ascii="黑体" w:eastAsia="黑体" w:cs="宋体"/>
          <w:color w:val="000000"/>
          <w:kern w:val="0"/>
          <w:sz w:val="30"/>
          <w:szCs w:val="30"/>
        </w:rPr>
        <w:t>三、入围材料</w:t>
      </w:r>
    </w:p>
    <w:p w14:paraId="67A061C8">
      <w:pPr>
        <w:widowControl/>
        <w:spacing w:line="360" w:lineRule="auto"/>
        <w:ind w:firstLine="562" w:firstLineChars="200"/>
        <w:jc w:val="left"/>
        <w:rPr>
          <w:rFonts w:ascii="宋体" w:hAnsi="宋体" w:cs="宋体"/>
          <w:b/>
          <w:bCs/>
          <w:color w:val="3C3C3C"/>
          <w:kern w:val="0"/>
          <w:sz w:val="28"/>
          <w:szCs w:val="28"/>
        </w:rPr>
      </w:pPr>
      <w:r>
        <w:rPr>
          <w:rFonts w:hint="eastAsia" w:ascii="宋体" w:hAnsi="宋体" w:cs="宋体"/>
          <w:b/>
          <w:bCs/>
          <w:color w:val="000000"/>
          <w:kern w:val="0"/>
          <w:sz w:val="28"/>
          <w:szCs w:val="28"/>
        </w:rPr>
        <w:t>投标人资质：</w:t>
      </w:r>
    </w:p>
    <w:p w14:paraId="7EC7ACDB">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1、投标单位是安钢集团水渣产品的合格经销商。</w:t>
      </w:r>
    </w:p>
    <w:p w14:paraId="1F198D9A">
      <w:pPr>
        <w:spacing w:line="360" w:lineRule="auto"/>
        <w:ind w:firstLine="600"/>
        <w:rPr>
          <w:rFonts w:ascii="宋体" w:hAnsi="宋体" w:cs="宋体"/>
          <w:sz w:val="28"/>
          <w:szCs w:val="28"/>
        </w:rPr>
      </w:pPr>
      <w:r>
        <w:rPr>
          <w:rFonts w:hint="eastAsia" w:ascii="宋体" w:hAnsi="宋体" w:cs="宋体"/>
          <w:sz w:val="28"/>
          <w:szCs w:val="28"/>
        </w:rPr>
        <w:t>2、新参与竞标单位必须是生产型企业，且需经业务人员实地考察合格方可参与。</w:t>
      </w:r>
    </w:p>
    <w:p w14:paraId="68427A7F">
      <w:pPr>
        <w:spacing w:line="360" w:lineRule="auto"/>
        <w:ind w:firstLine="602" w:firstLineChars="200"/>
        <w:rPr>
          <w:rFonts w:ascii="宋体" w:hAnsi="宋体" w:cs="宋体"/>
          <w:b/>
          <w:bCs/>
          <w:sz w:val="28"/>
          <w:szCs w:val="28"/>
        </w:rPr>
      </w:pPr>
      <w:r>
        <w:rPr>
          <w:rFonts w:hint="eastAsia" w:ascii="宋体" w:hAnsi="宋体" w:cs="宋体"/>
          <w:b/>
          <w:bCs/>
          <w:color w:val="000000"/>
          <w:kern w:val="0"/>
          <w:sz w:val="30"/>
          <w:szCs w:val="30"/>
        </w:rPr>
        <w:t>入围材料：</w:t>
      </w:r>
    </w:p>
    <w:p w14:paraId="4CD39082">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1、营业执照，须在有效期内。</w:t>
      </w:r>
    </w:p>
    <w:p w14:paraId="4D920FB7">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2、法人授权委托书，法人代表及委托代理人身份证件。</w:t>
      </w:r>
    </w:p>
    <w:p w14:paraId="0957319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3、竞买客户资格：企业性质：生产型或贸易型</w:t>
      </w:r>
    </w:p>
    <w:p w14:paraId="6C6D1E5F">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生产或经营范围：相关产品生产、加工或销售</w:t>
      </w:r>
    </w:p>
    <w:p w14:paraId="0D63C951">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（1）生产型：水泥、矿粉、钢渣破碎深加工、砖厂制造、机制</w:t>
      </w:r>
    </w:p>
    <w:p w14:paraId="1444894D">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砂、石料石粉、矿石加工、砂浆、熟料、骨料、新型建筑材料等生产企业。当地环保部门验收通过，允许生产的环保达标的资质文件；</w:t>
      </w:r>
    </w:p>
    <w:p w14:paraId="0B58A191">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（2）贸易型：负责为上述生产型企业采购的具有相应资格的独</w:t>
      </w:r>
    </w:p>
    <w:p w14:paraId="5CF714C9">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立法人单位，需相应生产型企业开具证明。</w:t>
      </w:r>
    </w:p>
    <w:p w14:paraId="450179B2">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以上证件均需加盖单位行政章，拍照上传至竞价平台进行审核。原合格经销商可直接入围。</w:t>
      </w:r>
      <w:r>
        <w:rPr>
          <w:rFonts w:hint="eastAsia" w:ascii="宋体" w:hAnsi="宋体" w:cs="宋体"/>
          <w:b/>
          <w:bCs/>
          <w:color w:val="000000"/>
          <w:kern w:val="0"/>
          <w:sz w:val="28"/>
          <w:szCs w:val="28"/>
        </w:rPr>
        <w:t>严格禁止同一实际控制人以不同法人或互为法人的名义同时参与同一品种的竞价；严格禁止互为“董监高”或者相互持股的客户同时参与同一品种的竞价；严格禁止安钢集团相关规定中明令禁止的相关人员和相关单位参与竞价产品的经营业务。违反此项要求的竞标单位，安钢将对其互为法人的单位，互为“董监高”、高管或者相互持股的单位进行永久性禁入，并按规定进行处罚。</w:t>
      </w:r>
    </w:p>
    <w:p w14:paraId="1D629BCE">
      <w:pPr>
        <w:spacing w:line="360" w:lineRule="auto"/>
        <w:ind w:firstLine="562" w:firstLineChars="200"/>
        <w:rPr>
          <w:rFonts w:ascii="宋体" w:hAnsi="宋体" w:cs="宋体"/>
          <w:b/>
          <w:bCs/>
          <w:sz w:val="28"/>
          <w:szCs w:val="28"/>
        </w:rPr>
      </w:pPr>
      <w:r>
        <w:rPr>
          <w:rFonts w:hint="eastAsia" w:ascii="宋体" w:hAnsi="宋体" w:cs="宋体"/>
          <w:b/>
          <w:bCs/>
          <w:sz w:val="28"/>
          <w:szCs w:val="28"/>
        </w:rPr>
        <w:t>四、成交原则：</w:t>
      </w:r>
    </w:p>
    <w:p w14:paraId="38D4EE58">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1、竞价实行网上竞价，公开增价，水渣产品每次加价为0.</w:t>
      </w: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元或0.</w:t>
      </w: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元的整数倍，成交价格以最终竞价价格为准。竞标底价和加价均为</w:t>
      </w:r>
      <w:r>
        <w:rPr>
          <w:rFonts w:hint="eastAsia" w:ascii="宋体" w:hAnsi="宋体" w:cs="宋体"/>
          <w:b/>
          <w:color w:val="000000"/>
          <w:kern w:val="0"/>
          <w:sz w:val="28"/>
          <w:szCs w:val="28"/>
        </w:rPr>
        <w:t>含税现汇价</w:t>
      </w:r>
      <w:r>
        <w:rPr>
          <w:rFonts w:hint="eastAsia" w:ascii="宋体" w:hAnsi="宋体" w:cs="宋体"/>
          <w:color w:val="000000"/>
          <w:kern w:val="0"/>
          <w:sz w:val="28"/>
          <w:szCs w:val="28"/>
        </w:rPr>
        <w:t>，实际结算价格为含税现汇价。</w:t>
      </w:r>
    </w:p>
    <w:p w14:paraId="548B6535">
      <w:pPr>
        <w:widowControl/>
        <w:snapToGrid w:val="0"/>
        <w:spacing w:line="360" w:lineRule="auto"/>
        <w:ind w:firstLine="560" w:firstLineChars="200"/>
        <w:jc w:val="left"/>
        <w:rPr>
          <w:rFonts w:ascii="宋体" w:hAnsi="宋体" w:cs="宋体"/>
          <w:color w:val="000000"/>
          <w:sz w:val="28"/>
          <w:szCs w:val="28"/>
        </w:rPr>
      </w:pPr>
      <w:r>
        <w:rPr>
          <w:rFonts w:hint="eastAsia" w:ascii="宋体" w:hAnsi="宋体" w:cs="宋体"/>
          <w:color w:val="000000"/>
          <w:kern w:val="0"/>
          <w:sz w:val="28"/>
          <w:szCs w:val="28"/>
        </w:rPr>
        <w:t>2、实行一家中标，多家跟标制。以竞价最高价为合同价，</w:t>
      </w:r>
      <w:r>
        <w:rPr>
          <w:rFonts w:hint="eastAsia" w:ascii="宋体" w:hAnsi="宋体" w:cs="宋体"/>
          <w:kern w:val="0"/>
          <w:sz w:val="28"/>
          <w:szCs w:val="28"/>
        </w:rPr>
        <w:t>报价最高的买受人首先中标，成为第一中标人，第二、第三…高报价人依次享有优先中标权，</w:t>
      </w:r>
      <w:r>
        <w:rPr>
          <w:rFonts w:hint="eastAsia" w:ascii="宋体" w:hAnsi="宋体" w:cs="宋体"/>
          <w:color w:val="000000"/>
          <w:kern w:val="0"/>
          <w:sz w:val="28"/>
          <w:szCs w:val="28"/>
        </w:rPr>
        <w:t>以竞价最高价签订产品购销合同。</w:t>
      </w:r>
      <w:r>
        <w:rPr>
          <w:rFonts w:hint="eastAsia" w:ascii="宋体" w:hAnsi="宋体" w:cs="宋体"/>
          <w:b/>
          <w:color w:val="FF0000"/>
          <w:kern w:val="0"/>
          <w:sz w:val="28"/>
          <w:szCs w:val="28"/>
        </w:rPr>
        <w:t>具体中标原则以正式公告为准。</w:t>
      </w:r>
    </w:p>
    <w:p w14:paraId="48F88887">
      <w:pPr>
        <w:spacing w:line="360" w:lineRule="auto"/>
        <w:rPr>
          <w:rFonts w:ascii="宋体" w:hAnsi="宋体" w:cs="宋体"/>
          <w:sz w:val="28"/>
          <w:szCs w:val="28"/>
        </w:rPr>
      </w:pPr>
      <w:r>
        <w:rPr>
          <w:rFonts w:hint="eastAsia" w:ascii="宋体" w:hAnsi="宋体" w:cs="宋体"/>
          <w:sz w:val="28"/>
          <w:szCs w:val="28"/>
        </w:rPr>
        <w:t xml:space="preserve">    竞价结束后竞价人员对竞价结果进行评审，满足竞价技术、商务各项要求，排序确定中标人。如出价家数不足三家，按照安钢集团公司相关规定要求执行。</w:t>
      </w:r>
    </w:p>
    <w:p w14:paraId="47C55150">
      <w:pPr>
        <w:spacing w:line="360" w:lineRule="auto"/>
        <w:ind w:firstLine="560" w:firstLineChars="200"/>
        <w:jc w:val="left"/>
        <w:rPr>
          <w:rFonts w:ascii="宋体" w:hAnsi="宋体" w:cs="宋体"/>
          <w:sz w:val="28"/>
          <w:szCs w:val="28"/>
        </w:rPr>
      </w:pPr>
      <w:r>
        <w:rPr>
          <w:rFonts w:hint="eastAsia" w:ascii="宋体" w:hAnsi="宋体" w:cs="宋体"/>
          <w:sz w:val="28"/>
          <w:szCs w:val="28"/>
        </w:rPr>
        <w:t>1、中标单位不得拒签合同，如中标后反悔，则视为违约，成为事实上的弃标，竞价保证金将作为违约金不予返还，终止其参标资格，同时取消其合格经销商资格。</w:t>
      </w:r>
    </w:p>
    <w:p w14:paraId="0DDB8DD4">
      <w:pPr>
        <w:spacing w:line="360" w:lineRule="auto"/>
        <w:ind w:firstLine="560" w:firstLineChars="200"/>
        <w:jc w:val="left"/>
        <w:rPr>
          <w:rFonts w:ascii="宋体" w:hAnsi="宋体" w:cs="宋体"/>
          <w:sz w:val="28"/>
          <w:szCs w:val="28"/>
        </w:rPr>
      </w:pPr>
      <w:r>
        <w:rPr>
          <w:rFonts w:hint="eastAsia" w:ascii="宋体" w:hAnsi="宋体" w:cs="宋体"/>
          <w:sz w:val="28"/>
          <w:szCs w:val="28"/>
        </w:rPr>
        <w:t>2、水渣产品竞标过程中，已明确中标、跟标客户数量时，竞标过程中已加价，其具备跟标条件后，却放弃跟标资格，与弃标同等处理，同时取消其合格经销商资格。</w:t>
      </w:r>
    </w:p>
    <w:p w14:paraId="343AEC39">
      <w:pPr>
        <w:spacing w:line="360" w:lineRule="auto"/>
        <w:ind w:firstLine="560" w:firstLineChars="200"/>
        <w:jc w:val="left"/>
        <w:rPr>
          <w:rFonts w:ascii="宋体" w:hAnsi="宋体" w:cs="宋体"/>
          <w:sz w:val="28"/>
          <w:szCs w:val="28"/>
        </w:rPr>
      </w:pPr>
      <w:r>
        <w:rPr>
          <w:rFonts w:hint="eastAsia" w:ascii="宋体" w:hAnsi="宋体" w:cs="宋体"/>
          <w:sz w:val="28"/>
          <w:szCs w:val="28"/>
        </w:rPr>
        <w:t>3、交款必须采用公对公转账方式，不接受个人或其他单位账户转款，由此产生的影响生产或其他损失的情形，由客户负责。</w:t>
      </w:r>
    </w:p>
    <w:p w14:paraId="2B9879C1">
      <w:pPr>
        <w:spacing w:line="360" w:lineRule="auto"/>
        <w:ind w:firstLine="562" w:firstLineChars="200"/>
        <w:rPr>
          <w:rFonts w:ascii="宋体" w:hAnsi="宋体" w:cs="宋体"/>
          <w:b/>
          <w:bCs/>
          <w:sz w:val="28"/>
          <w:szCs w:val="28"/>
        </w:rPr>
      </w:pPr>
      <w:r>
        <w:rPr>
          <w:rFonts w:hint="eastAsia" w:ascii="宋体" w:hAnsi="宋体" w:cs="宋体"/>
          <w:b/>
          <w:bCs/>
          <w:sz w:val="28"/>
          <w:szCs w:val="28"/>
        </w:rPr>
        <w:t>五、费用</w:t>
      </w:r>
    </w:p>
    <w:p w14:paraId="2170E5A9">
      <w:p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1、参与竞价的单位于交款截止时间前，向</w:t>
      </w:r>
      <w:r>
        <w:rPr>
          <w:rFonts w:hint="eastAsia" w:ascii="宋体" w:hAnsi="宋体" w:cs="宋体"/>
          <w:sz w:val="28"/>
          <w:szCs w:val="28"/>
          <w:lang w:val="en-US" w:eastAsia="zh-CN"/>
        </w:rPr>
        <w:t xml:space="preserve">安阳钢铁股份有限公司 </w:t>
      </w:r>
      <w:r>
        <w:rPr>
          <w:rFonts w:hint="eastAsia" w:ascii="宋体" w:hAnsi="宋体" w:cs="宋体"/>
          <w:b w:val="0"/>
          <w:bCs w:val="0"/>
          <w:sz w:val="28"/>
          <w:szCs w:val="28"/>
          <w:lang w:val="en-US" w:eastAsia="zh-CN"/>
        </w:rPr>
        <w:t>交纳40万元的竞价保证金（不计利息），水渣账面上应有20万元以上的预付货款(不计利息），备注：集采中心水渣款。</w:t>
      </w:r>
    </w:p>
    <w:p w14:paraId="6F9B4915">
      <w:pPr>
        <w:spacing w:line="360" w:lineRule="auto"/>
        <w:ind w:firstLine="560" w:firstLineChars="200"/>
        <w:jc w:val="left"/>
        <w:rPr>
          <w:rFonts w:ascii="宋体" w:hAnsi="宋体" w:cs="宋体"/>
          <w:sz w:val="28"/>
          <w:szCs w:val="28"/>
        </w:rPr>
      </w:pPr>
      <w:r>
        <w:rPr>
          <w:rFonts w:hint="eastAsia" w:ascii="宋体" w:hAnsi="宋体" w:cs="宋体"/>
          <w:sz w:val="28"/>
          <w:szCs w:val="28"/>
        </w:rPr>
        <w:t>2、单位名称：安阳钢铁股份有限公司</w:t>
      </w:r>
    </w:p>
    <w:p w14:paraId="1DF189EF">
      <w:pPr>
        <w:spacing w:line="360" w:lineRule="auto"/>
        <w:jc w:val="left"/>
        <w:rPr>
          <w:rFonts w:ascii="宋体" w:hAnsi="宋体" w:cs="宋体"/>
          <w:sz w:val="28"/>
          <w:szCs w:val="28"/>
        </w:rPr>
      </w:pPr>
      <w:r>
        <w:rPr>
          <w:rFonts w:hint="eastAsia" w:ascii="宋体" w:hAnsi="宋体" w:cs="宋体"/>
          <w:sz w:val="28"/>
          <w:szCs w:val="28"/>
        </w:rPr>
        <w:t xml:space="preserve">   银行账号：中行安阳安钢支行2572 0450 3843   </w:t>
      </w:r>
    </w:p>
    <w:p w14:paraId="02C948E9">
      <w:pPr>
        <w:numPr>
          <w:ilvl w:val="0"/>
          <w:numId w:val="1"/>
        </w:numPr>
        <w:spacing w:line="360" w:lineRule="auto"/>
        <w:ind w:firstLine="562" w:firstLineChars="200"/>
        <w:rPr>
          <w:rFonts w:ascii="宋体" w:hAnsi="宋体" w:cs="宋体"/>
          <w:b/>
          <w:bCs/>
          <w:sz w:val="28"/>
          <w:szCs w:val="28"/>
        </w:rPr>
      </w:pPr>
      <w:r>
        <w:rPr>
          <w:rFonts w:hint="eastAsia" w:ascii="宋体" w:hAnsi="宋体" w:cs="宋体"/>
          <w:b/>
          <w:bCs/>
          <w:sz w:val="28"/>
          <w:szCs w:val="28"/>
        </w:rPr>
        <w:t>主要合同条款</w:t>
      </w:r>
    </w:p>
    <w:p w14:paraId="38904F9F">
      <w:pPr>
        <w:spacing w:line="360" w:lineRule="auto"/>
        <w:ind w:firstLine="560" w:firstLineChars="200"/>
        <w:rPr>
          <w:rFonts w:ascii="宋体" w:hAnsi="宋体" w:cs="宋体"/>
          <w:bCs/>
          <w:sz w:val="28"/>
          <w:szCs w:val="28"/>
        </w:rPr>
      </w:pPr>
      <w:r>
        <w:rPr>
          <w:rFonts w:hint="eastAsia" w:ascii="宋体" w:hAnsi="宋体" w:cs="宋体"/>
          <w:bCs/>
          <w:sz w:val="28"/>
          <w:szCs w:val="28"/>
        </w:rPr>
        <w:t>1、结算及付款方式：先款后货，银行转账汇款(按安钢财务政策执行）。</w:t>
      </w:r>
      <w:r>
        <w:rPr>
          <w:rFonts w:hint="eastAsia" w:ascii="宋体" w:hAnsi="宋体" w:cs="宋体"/>
          <w:color w:val="000000"/>
          <w:kern w:val="0"/>
          <w:sz w:val="28"/>
          <w:szCs w:val="28"/>
        </w:rPr>
        <w:t>结算价格为含税现汇价,</w:t>
      </w:r>
      <w:r>
        <w:rPr>
          <w:rFonts w:hint="eastAsia" w:ascii="宋体" w:hAnsi="宋体"/>
          <w:color w:val="000000"/>
          <w:sz w:val="28"/>
          <w:szCs w:val="28"/>
        </w:rPr>
        <w:t>以湿基结算,</w:t>
      </w:r>
      <w:r>
        <w:rPr>
          <w:rFonts w:hint="eastAsia" w:ascii="宋体" w:hAnsi="宋体" w:cs="宋体"/>
          <w:bCs/>
          <w:sz w:val="28"/>
          <w:szCs w:val="28"/>
        </w:rPr>
        <w:t>甲方按实际数量结算并开具13%的增值税专用发票。</w:t>
      </w:r>
    </w:p>
    <w:p w14:paraId="0F958611">
      <w:pPr>
        <w:spacing w:line="360" w:lineRule="auto"/>
        <w:ind w:firstLine="560" w:firstLineChars="200"/>
        <w:rPr>
          <w:rFonts w:ascii="宋体" w:hAnsi="宋体" w:cs="宋体"/>
          <w:bCs/>
          <w:sz w:val="28"/>
          <w:szCs w:val="28"/>
        </w:rPr>
      </w:pPr>
      <w:r>
        <w:rPr>
          <w:rFonts w:hint="eastAsia" w:ascii="宋体" w:hAnsi="宋体" w:cs="宋体"/>
          <w:bCs/>
          <w:sz w:val="28"/>
          <w:szCs w:val="28"/>
        </w:rPr>
        <w:t>2、取得中标权的客户要保证整个标期内货款充足。</w:t>
      </w:r>
    </w:p>
    <w:p w14:paraId="310863B5">
      <w:pPr>
        <w:spacing w:line="360" w:lineRule="auto"/>
        <w:ind w:firstLine="560" w:firstLineChars="200"/>
        <w:jc w:val="left"/>
        <w:rPr>
          <w:rFonts w:ascii="宋体" w:hAnsi="宋体" w:cs="宋体"/>
          <w:sz w:val="28"/>
          <w:szCs w:val="28"/>
        </w:rPr>
      </w:pPr>
      <w:r>
        <w:rPr>
          <w:rFonts w:hint="eastAsia" w:ascii="宋体" w:hAnsi="宋体" w:cs="宋体"/>
          <w:sz w:val="28"/>
          <w:szCs w:val="28"/>
        </w:rPr>
        <w:t>3、违约责任：</w:t>
      </w:r>
    </w:p>
    <w:p w14:paraId="578964F1">
      <w:pPr>
        <w:spacing w:line="360" w:lineRule="auto"/>
        <w:ind w:firstLine="560" w:firstLineChars="200"/>
        <w:jc w:val="left"/>
        <w:rPr>
          <w:rFonts w:ascii="宋体" w:hAnsi="宋体" w:cs="宋体"/>
          <w:sz w:val="28"/>
          <w:szCs w:val="28"/>
        </w:rPr>
      </w:pPr>
      <w:r>
        <w:rPr>
          <w:rFonts w:hint="eastAsia" w:ascii="宋体" w:hAnsi="宋体" w:cs="宋体"/>
          <w:sz w:val="28"/>
          <w:szCs w:val="28"/>
        </w:rPr>
        <w:t>3.1  如果乙方发生或被举报有损害甲方利益的，甲方将立即停止对乙方发货，经查实后，甲方有权根据具体情况决定终止合同并扣除乙方全部保证金，给甲方造成经济损失的，由乙方承担全部费用。</w:t>
      </w:r>
    </w:p>
    <w:p w14:paraId="05EFD237">
      <w:pPr>
        <w:spacing w:line="360" w:lineRule="auto"/>
        <w:ind w:firstLine="560" w:firstLineChars="200"/>
        <w:jc w:val="left"/>
        <w:rPr>
          <w:rFonts w:ascii="宋体" w:hAnsi="宋体" w:cs="宋体"/>
          <w:sz w:val="28"/>
          <w:szCs w:val="28"/>
        </w:rPr>
      </w:pPr>
      <w:r>
        <w:rPr>
          <w:rFonts w:hint="eastAsia" w:ascii="宋体" w:hAnsi="宋体" w:cs="宋体"/>
          <w:sz w:val="28"/>
          <w:szCs w:val="28"/>
        </w:rPr>
        <w:t>3.2  合同期内乙方原则上需一次性将货款汇入安钢指定账户，最多汇款次数不超过3次（含3次），否则每超1次扣除乙方合同履约保证金5000元（伍仟元）。</w:t>
      </w:r>
    </w:p>
    <w:p w14:paraId="0B978BED">
      <w:pPr>
        <w:spacing w:line="360" w:lineRule="auto"/>
        <w:ind w:firstLine="560" w:firstLineChars="200"/>
        <w:jc w:val="left"/>
        <w:rPr>
          <w:rFonts w:ascii="宋体" w:hAnsi="宋体" w:cs="宋体"/>
          <w:sz w:val="28"/>
          <w:szCs w:val="28"/>
        </w:rPr>
      </w:pPr>
      <w:r>
        <w:rPr>
          <w:rFonts w:hint="eastAsia" w:ascii="宋体" w:hAnsi="宋体" w:cs="宋体"/>
          <w:sz w:val="28"/>
          <w:szCs w:val="28"/>
        </w:rPr>
        <w:t>3.3  由于乙方问题造成标期内无货款提货的，每次扣除合同履约保证金5000元（伍仟元）；合同期内80%&lt;合同执行率&lt;90%，每次扣除乙方合同履约保证金10000元（壹万元）；合同期内合同执行率≦80%，每次扣除乙方合同履约保证金50000元（伍万元）。因甲方原因造成合同执行率未完成不予考核。</w:t>
      </w:r>
    </w:p>
    <w:p w14:paraId="1D608A7B">
      <w:pPr>
        <w:spacing w:line="360" w:lineRule="auto"/>
        <w:ind w:firstLine="560" w:firstLineChars="200"/>
        <w:jc w:val="left"/>
        <w:rPr>
          <w:rFonts w:ascii="宋体" w:hAnsi="宋体" w:cs="宋体"/>
          <w:sz w:val="28"/>
          <w:szCs w:val="28"/>
        </w:rPr>
      </w:pPr>
      <w:r>
        <w:rPr>
          <w:rFonts w:hint="eastAsia" w:ascii="宋体" w:hAnsi="宋体" w:cs="宋体"/>
          <w:sz w:val="28"/>
          <w:szCs w:val="28"/>
        </w:rPr>
        <w:t>3.4  乙方应严格执行现场限时卸车（卸车时间控制在20分钟之内），由于乙方问题造成超时卸车的，每次扣除合同履约金1000元（壹仟元）/车。</w:t>
      </w:r>
    </w:p>
    <w:p w14:paraId="0C842604">
      <w:pPr>
        <w:spacing w:line="360" w:lineRule="auto"/>
        <w:ind w:firstLine="560" w:firstLineChars="200"/>
        <w:jc w:val="left"/>
        <w:rPr>
          <w:rFonts w:ascii="宋体" w:hAnsi="宋体" w:cs="宋体"/>
          <w:sz w:val="28"/>
          <w:szCs w:val="28"/>
        </w:rPr>
      </w:pPr>
      <w:r>
        <w:rPr>
          <w:rFonts w:hint="eastAsia" w:ascii="宋体" w:hAnsi="宋体" w:cs="宋体"/>
          <w:sz w:val="28"/>
          <w:szCs w:val="28"/>
        </w:rPr>
        <w:t>3.5  如因乙方原因造成甲方水渣内部二次倒运的，乙方同意按照倒运的车数，从合同履约保证金中扣除1000元（壹仟元）/车的运费。如因乙方原因造成甲方水渣倒运出厂的，乙方同意按照倒运的数量，从合同履约保证金中扣除倒运费和场地租赁费。合同期内连续或累计3次因乙方原因造成倒运水渣或影响高炉出渣的，甲方有权终止合同，并扣除乙方全部合同履约保证金。</w:t>
      </w:r>
    </w:p>
    <w:p w14:paraId="0036AED2">
      <w:pPr>
        <w:spacing w:line="360" w:lineRule="auto"/>
        <w:ind w:firstLine="560" w:firstLineChars="200"/>
        <w:jc w:val="left"/>
        <w:rPr>
          <w:rFonts w:ascii="宋体" w:hAnsi="宋体" w:cs="宋体"/>
          <w:sz w:val="28"/>
          <w:szCs w:val="28"/>
        </w:rPr>
      </w:pPr>
      <w:r>
        <w:rPr>
          <w:rFonts w:hint="eastAsia" w:ascii="宋体" w:hAnsi="宋体" w:cs="宋体"/>
          <w:sz w:val="28"/>
          <w:szCs w:val="28"/>
        </w:rPr>
        <w:t>3.6  合同执行过程中乙方因违约被甲方扣款后，必须在两个工作日内将合同履约保证金补齐，否则，甲方有权终止合同。</w:t>
      </w:r>
    </w:p>
    <w:p w14:paraId="2BC6EBFB">
      <w:pPr>
        <w:spacing w:line="360" w:lineRule="auto"/>
        <w:ind w:firstLine="560" w:firstLineChars="200"/>
        <w:jc w:val="left"/>
        <w:rPr>
          <w:rFonts w:ascii="宋体" w:hAnsi="宋体" w:cs="宋体"/>
          <w:sz w:val="28"/>
          <w:szCs w:val="28"/>
        </w:rPr>
      </w:pPr>
      <w:r>
        <w:rPr>
          <w:rFonts w:hint="eastAsia" w:ascii="宋体" w:hAnsi="宋体" w:cs="宋体"/>
          <w:sz w:val="28"/>
          <w:szCs w:val="28"/>
        </w:rPr>
        <w:t>3.7  因上述条款造成合同终止的，扣除乙方全部合同履约保证金。</w:t>
      </w:r>
    </w:p>
    <w:p w14:paraId="094B6E66">
      <w:pPr>
        <w:spacing w:line="360" w:lineRule="auto"/>
        <w:ind w:firstLine="560" w:firstLineChars="200"/>
        <w:jc w:val="left"/>
        <w:rPr>
          <w:rFonts w:ascii="宋体" w:hAnsi="宋体" w:cs="宋体"/>
          <w:b/>
          <w:bCs/>
          <w:sz w:val="28"/>
          <w:szCs w:val="28"/>
        </w:rPr>
      </w:pPr>
      <w:r>
        <w:rPr>
          <w:rFonts w:hint="eastAsia" w:ascii="宋体" w:hAnsi="宋体" w:cs="宋体"/>
          <w:sz w:val="28"/>
          <w:szCs w:val="28"/>
        </w:rPr>
        <w:t>3.8  如因乙方存货场地或周转货场和乙方的运输车辆，在储存或运输途中发生有环境污染现象，以及乙方因环保问题被相关部门督导或追责时，甲方有权立即停止发货（被停止提货期间少提渣量，将列入合同期内考核），直至乙方整改且得到有关单位验收合格后，方可恢复提货；恢复提货后，如乙方再次发生有违反环境保护之事项，则甲方立即按乙方违约处理，终止合同，由此造成的损失，由乙方承担。</w:t>
      </w:r>
    </w:p>
    <w:p w14:paraId="131963C4">
      <w:pPr>
        <w:spacing w:line="360" w:lineRule="auto"/>
        <w:ind w:firstLine="281" w:firstLineChars="100"/>
        <w:rPr>
          <w:rFonts w:ascii="宋体" w:hAnsi="宋体" w:cs="宋体"/>
          <w:sz w:val="28"/>
          <w:szCs w:val="28"/>
        </w:rPr>
      </w:pPr>
      <w:r>
        <w:rPr>
          <w:rFonts w:hint="eastAsia" w:ascii="宋体" w:hAnsi="宋体" w:cs="宋体"/>
          <w:b/>
          <w:bCs/>
          <w:sz w:val="28"/>
          <w:szCs w:val="28"/>
        </w:rPr>
        <w:t>七、技术要求（或技术协议/附件）：</w:t>
      </w:r>
    </w:p>
    <w:p w14:paraId="77631E44">
      <w:pPr>
        <w:widowControl/>
        <w:spacing w:line="360" w:lineRule="auto"/>
        <w:ind w:firstLine="560" w:firstLineChars="200"/>
        <w:jc w:val="left"/>
        <w:rPr>
          <w:rFonts w:ascii="仿宋_GB2312" w:hAnsi="仿宋_GB2312" w:eastAsia="仿宋_GB2312" w:cs="仿宋_GB2312"/>
          <w:b/>
          <w:bCs/>
          <w:color w:val="FF0000"/>
          <w:sz w:val="30"/>
          <w:szCs w:val="30"/>
        </w:rPr>
      </w:pPr>
      <w:r>
        <w:rPr>
          <w:rFonts w:hint="eastAsia" w:ascii="宋体" w:hAnsi="宋体" w:cs="宋体"/>
          <w:color w:val="3C3C3C"/>
          <w:kern w:val="0"/>
          <w:sz w:val="28"/>
          <w:szCs w:val="28"/>
        </w:rPr>
        <w:t>安钢集团负责装车，</w:t>
      </w:r>
      <w:r>
        <w:rPr>
          <w:rFonts w:hint="eastAsia" w:ascii="宋体" w:hAnsi="宋体" w:cs="宋体"/>
          <w:color w:val="000000"/>
          <w:kern w:val="0"/>
          <w:sz w:val="28"/>
          <w:szCs w:val="28"/>
        </w:rPr>
        <w:t>中标单位按照</w:t>
      </w:r>
      <w:r>
        <w:rPr>
          <w:rFonts w:hint="eastAsia" w:ascii="宋体" w:hAnsi="宋体" w:cs="宋体"/>
          <w:kern w:val="0"/>
          <w:sz w:val="28"/>
          <w:szCs w:val="28"/>
        </w:rPr>
        <w:t>《安钢钢铁渣业务运输协议》用电动重卡运输、中标单位付运费</w:t>
      </w:r>
      <w:r>
        <w:rPr>
          <w:rFonts w:hint="eastAsia" w:ascii="宋体" w:hAnsi="宋体" w:cs="宋体"/>
          <w:color w:val="000000"/>
          <w:kern w:val="0"/>
          <w:sz w:val="28"/>
          <w:szCs w:val="28"/>
        </w:rPr>
        <w:t>，且必须严格按照标载进行装车。</w:t>
      </w:r>
    </w:p>
    <w:p w14:paraId="5BBC0986">
      <w:pPr>
        <w:spacing w:line="360" w:lineRule="auto"/>
        <w:ind w:firstLine="300" w:firstLineChars="100"/>
        <w:rPr>
          <w:rFonts w:ascii="黑体" w:hAnsi="黑体" w:eastAsia="黑体" w:cs="黑体"/>
          <w:color w:val="FF0000"/>
          <w:sz w:val="30"/>
          <w:szCs w:val="30"/>
        </w:rPr>
      </w:pPr>
      <w:r>
        <w:rPr>
          <w:rFonts w:hint="eastAsia" w:ascii="黑体" w:hAnsi="黑体" w:eastAsia="黑体" w:cs="黑体"/>
          <w:color w:val="FF0000"/>
          <w:sz w:val="30"/>
          <w:szCs w:val="30"/>
        </w:rPr>
        <w:t>八、经销商参与本次竞价即视为同意本竞价预告中的所有条款。</w:t>
      </w:r>
    </w:p>
    <w:p w14:paraId="5B7CCF6D">
      <w:pPr>
        <w:spacing w:line="360" w:lineRule="auto"/>
        <w:ind w:firstLine="300" w:firstLineChars="100"/>
        <w:rPr>
          <w:rFonts w:ascii="黑体" w:hAnsi="黑体" w:eastAsia="黑体" w:cs="黑体"/>
          <w:color w:val="FF0000"/>
          <w:sz w:val="30"/>
          <w:szCs w:val="30"/>
        </w:rPr>
      </w:pPr>
      <w:r>
        <w:rPr>
          <w:rFonts w:hint="eastAsia" w:ascii="黑体" w:hAnsi="黑体" w:eastAsia="黑体" w:cs="黑体"/>
          <w:color w:val="FF0000"/>
          <w:sz w:val="30"/>
          <w:szCs w:val="30"/>
        </w:rPr>
        <w:t>九、以上内容为预告内容，最终以竞价销售公告为准。</w:t>
      </w:r>
    </w:p>
    <w:p w14:paraId="07948D2D">
      <w:pPr>
        <w:widowControl/>
        <w:spacing w:line="360" w:lineRule="auto"/>
        <w:ind w:firstLine="300" w:firstLineChars="100"/>
        <w:jc w:val="left"/>
        <w:rPr>
          <w:rFonts w:ascii="黑体" w:eastAsia="黑体" w:cs="宋体"/>
          <w:color w:val="000000"/>
          <w:kern w:val="0"/>
          <w:sz w:val="30"/>
          <w:szCs w:val="30"/>
        </w:rPr>
      </w:pPr>
      <w:r>
        <w:rPr>
          <w:rFonts w:hint="eastAsia" w:ascii="黑体" w:eastAsia="黑体" w:cs="宋体"/>
          <w:color w:val="000000"/>
          <w:kern w:val="0"/>
          <w:sz w:val="30"/>
          <w:szCs w:val="30"/>
        </w:rPr>
        <w:t>十、期限要求</w:t>
      </w:r>
    </w:p>
    <w:p w14:paraId="2EBB4EA9">
      <w:pPr>
        <w:widowControl/>
        <w:spacing w:line="36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报名及缴款截止时间：202</w:t>
      </w:r>
      <w:r>
        <w:rPr>
          <w:rFonts w:hint="eastAsia" w:ascii="仿宋_GB2312" w:eastAsia="仿宋_GB2312" w:cs="宋体"/>
          <w:color w:val="000000"/>
          <w:kern w:val="0"/>
          <w:sz w:val="30"/>
          <w:szCs w:val="30"/>
          <w:lang w:val="en-US" w:eastAsia="zh-CN"/>
        </w:rPr>
        <w:t>5</w:t>
      </w:r>
      <w:r>
        <w:rPr>
          <w:rFonts w:hint="eastAsia" w:ascii="仿宋_GB2312" w:eastAsia="仿宋_GB2312" w:cs="宋体"/>
          <w:color w:val="000000"/>
          <w:kern w:val="0"/>
          <w:sz w:val="30"/>
          <w:szCs w:val="30"/>
        </w:rPr>
        <w:t>年</w:t>
      </w:r>
      <w:r>
        <w:rPr>
          <w:rFonts w:hint="eastAsia" w:ascii="仿宋_GB2312" w:eastAsia="仿宋_GB2312" w:cs="宋体"/>
          <w:color w:val="000000"/>
          <w:kern w:val="0"/>
          <w:sz w:val="30"/>
          <w:szCs w:val="30"/>
          <w:lang w:val="en-US" w:eastAsia="zh-CN"/>
        </w:rPr>
        <w:t>03</w:t>
      </w:r>
      <w:r>
        <w:rPr>
          <w:rFonts w:hint="eastAsia" w:ascii="仿宋_GB2312" w:eastAsia="仿宋_GB2312" w:cs="宋体"/>
          <w:color w:val="000000"/>
          <w:kern w:val="0"/>
          <w:sz w:val="30"/>
          <w:szCs w:val="30"/>
        </w:rPr>
        <w:t>月</w:t>
      </w:r>
      <w:r>
        <w:rPr>
          <w:rFonts w:hint="eastAsia" w:ascii="仿宋_GB2312" w:eastAsia="仿宋_GB2312" w:cs="宋体"/>
          <w:color w:val="000000"/>
          <w:kern w:val="0"/>
          <w:sz w:val="30"/>
          <w:szCs w:val="30"/>
          <w:lang w:val="en-US" w:eastAsia="zh-CN"/>
        </w:rPr>
        <w:t>17</w:t>
      </w:r>
      <w:r>
        <w:rPr>
          <w:rFonts w:hint="eastAsia" w:ascii="仿宋_GB2312" w:eastAsia="仿宋_GB2312" w:cs="宋体"/>
          <w:color w:val="000000"/>
          <w:kern w:val="0"/>
          <w:sz w:val="30"/>
          <w:szCs w:val="30"/>
        </w:rPr>
        <w:t>日8时</w:t>
      </w:r>
    </w:p>
    <w:p w14:paraId="1F7BCC35">
      <w:pPr>
        <w:widowControl/>
        <w:spacing w:line="36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竞价开始时间：202</w:t>
      </w:r>
      <w:r>
        <w:rPr>
          <w:rFonts w:hint="eastAsia" w:ascii="仿宋_GB2312" w:eastAsia="仿宋_GB2312" w:cs="宋体"/>
          <w:color w:val="000000"/>
          <w:kern w:val="0"/>
          <w:sz w:val="30"/>
          <w:szCs w:val="30"/>
          <w:lang w:val="en-US" w:eastAsia="zh-CN"/>
        </w:rPr>
        <w:t>5</w:t>
      </w:r>
      <w:r>
        <w:rPr>
          <w:rFonts w:hint="eastAsia" w:ascii="仿宋_GB2312" w:eastAsia="仿宋_GB2312" w:cs="宋体"/>
          <w:color w:val="000000"/>
          <w:kern w:val="0"/>
          <w:sz w:val="30"/>
          <w:szCs w:val="30"/>
        </w:rPr>
        <w:t>年</w:t>
      </w:r>
      <w:r>
        <w:rPr>
          <w:rFonts w:hint="eastAsia" w:ascii="仿宋_GB2312" w:eastAsia="仿宋_GB2312" w:cs="宋体"/>
          <w:color w:val="000000"/>
          <w:kern w:val="0"/>
          <w:sz w:val="30"/>
          <w:szCs w:val="30"/>
          <w:lang w:val="en-US" w:eastAsia="zh-CN"/>
        </w:rPr>
        <w:t>03</w:t>
      </w:r>
      <w:r>
        <w:rPr>
          <w:rFonts w:hint="eastAsia" w:ascii="仿宋_GB2312" w:eastAsia="仿宋_GB2312" w:cs="宋体"/>
          <w:color w:val="000000"/>
          <w:kern w:val="0"/>
          <w:sz w:val="30"/>
          <w:szCs w:val="30"/>
        </w:rPr>
        <w:t>月</w:t>
      </w:r>
      <w:r>
        <w:rPr>
          <w:rFonts w:hint="eastAsia" w:ascii="仿宋_GB2312" w:eastAsia="仿宋_GB2312" w:cs="宋体"/>
          <w:color w:val="000000"/>
          <w:kern w:val="0"/>
          <w:sz w:val="30"/>
          <w:szCs w:val="30"/>
          <w:lang w:val="en-US" w:eastAsia="zh-CN"/>
        </w:rPr>
        <w:t>1</w:t>
      </w:r>
      <w:bookmarkStart w:id="0" w:name="_GoBack"/>
      <w:bookmarkEnd w:id="0"/>
      <w:r>
        <w:rPr>
          <w:rFonts w:hint="eastAsia" w:ascii="仿宋_GB2312" w:eastAsia="仿宋_GB2312" w:cs="宋体"/>
          <w:color w:val="000000"/>
          <w:kern w:val="0"/>
          <w:sz w:val="30"/>
          <w:szCs w:val="30"/>
          <w:lang w:val="en-US" w:eastAsia="zh-CN"/>
        </w:rPr>
        <w:t>7</w:t>
      </w:r>
      <w:r>
        <w:rPr>
          <w:rFonts w:hint="eastAsia" w:ascii="仿宋_GB2312" w:eastAsia="仿宋_GB2312" w:cs="宋体"/>
          <w:color w:val="000000"/>
          <w:kern w:val="0"/>
          <w:sz w:val="30"/>
          <w:szCs w:val="30"/>
        </w:rPr>
        <w:t>日</w:t>
      </w:r>
    </w:p>
    <w:p w14:paraId="2B44FB93">
      <w:pPr>
        <w:widowControl/>
        <w:spacing w:line="360" w:lineRule="auto"/>
        <w:ind w:firstLine="300" w:firstLineChars="100"/>
        <w:jc w:val="left"/>
        <w:rPr>
          <w:rFonts w:ascii="黑体" w:eastAsia="黑体" w:cs="宋体"/>
          <w:color w:val="3C3C3C"/>
          <w:kern w:val="0"/>
          <w:sz w:val="30"/>
          <w:szCs w:val="30"/>
        </w:rPr>
      </w:pPr>
      <w:r>
        <w:rPr>
          <w:rFonts w:hint="eastAsia" w:ascii="黑体" w:eastAsia="黑体" w:cs="宋体"/>
          <w:color w:val="000000"/>
          <w:kern w:val="0"/>
          <w:sz w:val="30"/>
          <w:szCs w:val="30"/>
        </w:rPr>
        <w:t>十一、业务咨询</w:t>
      </w:r>
    </w:p>
    <w:p w14:paraId="24726844">
      <w:pPr>
        <w:widowControl/>
        <w:tabs>
          <w:tab w:val="right" w:pos="8306"/>
        </w:tabs>
        <w:spacing w:line="360" w:lineRule="auto"/>
        <w:ind w:firstLine="720"/>
        <w:jc w:val="left"/>
        <w:rPr>
          <w:rFonts w:ascii="仿宋_GB2312" w:eastAsia="仿宋_GB2312" w:cs="宋体"/>
          <w:color w:val="3C3C3C"/>
          <w:kern w:val="0"/>
          <w:sz w:val="30"/>
          <w:szCs w:val="30"/>
        </w:rPr>
      </w:pPr>
      <w:r>
        <w:rPr>
          <w:rFonts w:hint="eastAsia" w:ascii="仿宋_GB2312" w:eastAsia="仿宋_GB2312" w:cs="宋体"/>
          <w:color w:val="000000"/>
          <w:kern w:val="0"/>
          <w:sz w:val="30"/>
          <w:szCs w:val="30"/>
        </w:rPr>
        <w:t>联系单位：</w:t>
      </w:r>
      <w:r>
        <w:rPr>
          <w:rFonts w:hint="eastAsia" w:ascii="仿宋_GB2312" w:eastAsia="仿宋_GB2312" w:cs="宋体"/>
          <w:color w:val="3C3C3C"/>
          <w:kern w:val="0"/>
          <w:sz w:val="30"/>
          <w:szCs w:val="30"/>
        </w:rPr>
        <w:t>安钢集采中心</w:t>
      </w:r>
      <w:r>
        <w:rPr>
          <w:rFonts w:hint="eastAsia" w:ascii="仿宋_GB2312" w:eastAsia="仿宋_GB2312" w:cs="宋体"/>
          <w:color w:val="3C3C3C"/>
          <w:kern w:val="0"/>
          <w:sz w:val="30"/>
          <w:szCs w:val="30"/>
          <w:lang w:val="en-US" w:eastAsia="zh-CN"/>
        </w:rPr>
        <w:t>物资销售</w:t>
      </w:r>
      <w:r>
        <w:rPr>
          <w:rFonts w:hint="eastAsia" w:ascii="仿宋_GB2312" w:eastAsia="仿宋_GB2312" w:cs="宋体"/>
          <w:color w:val="3C3C3C"/>
          <w:kern w:val="0"/>
          <w:sz w:val="30"/>
          <w:szCs w:val="30"/>
        </w:rPr>
        <w:t>室</w:t>
      </w:r>
    </w:p>
    <w:p w14:paraId="6BDDB07C">
      <w:pPr>
        <w:widowControl/>
        <w:tabs>
          <w:tab w:val="right" w:pos="8306"/>
        </w:tabs>
        <w:spacing w:line="360" w:lineRule="auto"/>
        <w:ind w:left="2085" w:leftChars="350" w:hanging="1350" w:hangingChars="450"/>
        <w:jc w:val="left"/>
        <w:rPr>
          <w:rFonts w:hint="eastAsia" w:ascii="仿宋_GB2312" w:eastAsia="仿宋_GB2312" w:cs="宋体"/>
          <w:color w:val="3C3C3C"/>
          <w:kern w:val="0"/>
          <w:sz w:val="30"/>
          <w:szCs w:val="30"/>
        </w:rPr>
      </w:pPr>
      <w:r>
        <w:rPr>
          <w:rFonts w:hint="eastAsia" w:ascii="仿宋_GB2312" w:eastAsia="仿宋_GB2312" w:cs="宋体"/>
          <w:color w:val="3C3C3C"/>
          <w:kern w:val="0"/>
          <w:sz w:val="30"/>
          <w:szCs w:val="30"/>
        </w:rPr>
        <w:t>地    址：安阳市殷都区安钢大道</w:t>
      </w:r>
      <w:r>
        <w:rPr>
          <w:rFonts w:hint="eastAsia" w:ascii="仿宋_GB2312" w:eastAsia="仿宋_GB2312" w:cs="宋体"/>
          <w:color w:val="3C3C3C"/>
          <w:kern w:val="0"/>
          <w:sz w:val="30"/>
          <w:szCs w:val="30"/>
          <w:lang w:val="en-US" w:eastAsia="zh-CN"/>
        </w:rPr>
        <w:t>集采中心</w:t>
      </w:r>
      <w:r>
        <w:rPr>
          <w:rFonts w:hint="eastAsia" w:ascii="仿宋_GB2312" w:eastAsia="仿宋_GB2312" w:cs="宋体"/>
          <w:color w:val="3C3C3C"/>
          <w:kern w:val="0"/>
          <w:sz w:val="30"/>
          <w:szCs w:val="30"/>
        </w:rPr>
        <w:t>院内</w:t>
      </w:r>
    </w:p>
    <w:p w14:paraId="26979BAE">
      <w:pPr>
        <w:widowControl/>
        <w:tabs>
          <w:tab w:val="right" w:pos="8306"/>
        </w:tabs>
        <w:spacing w:line="360" w:lineRule="auto"/>
        <w:ind w:left="2085" w:leftChars="350" w:hanging="1350" w:hangingChars="450"/>
        <w:jc w:val="left"/>
        <w:rPr>
          <w:rFonts w:ascii="仿宋_GB2312" w:eastAsia="仿宋_GB2312" w:cs="宋体"/>
          <w:color w:val="3C3C3C"/>
          <w:kern w:val="0"/>
          <w:sz w:val="30"/>
          <w:szCs w:val="30"/>
        </w:rPr>
      </w:pPr>
      <w:r>
        <w:rPr>
          <w:rFonts w:hint="eastAsia" w:ascii="仿宋_GB2312" w:eastAsia="仿宋_GB2312" w:cs="宋体"/>
          <w:color w:val="3C3C3C"/>
          <w:kern w:val="0"/>
          <w:sz w:val="30"/>
          <w:szCs w:val="30"/>
        </w:rPr>
        <w:t>联 系 人：任工</w:t>
      </w:r>
    </w:p>
    <w:p w14:paraId="14C0040D">
      <w:pPr>
        <w:widowControl/>
        <w:spacing w:line="360" w:lineRule="auto"/>
        <w:ind w:firstLine="720"/>
        <w:jc w:val="left"/>
        <w:rPr>
          <w:rFonts w:ascii="仿宋_GB2312" w:eastAsia="仿宋_GB2312" w:cs="宋体"/>
          <w:color w:val="3C3C3C"/>
          <w:kern w:val="0"/>
          <w:sz w:val="30"/>
          <w:szCs w:val="30"/>
        </w:rPr>
      </w:pPr>
      <w:r>
        <w:rPr>
          <w:rFonts w:hint="eastAsia" w:ascii="仿宋_GB2312" w:eastAsia="仿宋_GB2312" w:cs="宋体"/>
          <w:color w:val="3C3C3C"/>
          <w:kern w:val="0"/>
          <w:sz w:val="30"/>
          <w:szCs w:val="30"/>
        </w:rPr>
        <w:t>联系电话：0372-312</w:t>
      </w:r>
      <w:r>
        <w:rPr>
          <w:rFonts w:hint="eastAsia" w:ascii="仿宋_GB2312" w:eastAsia="仿宋_GB2312" w:cs="宋体"/>
          <w:color w:val="3C3C3C"/>
          <w:kern w:val="0"/>
          <w:sz w:val="30"/>
          <w:szCs w:val="30"/>
          <w:lang w:val="en-US" w:eastAsia="zh-CN"/>
        </w:rPr>
        <w:t>4102</w:t>
      </w:r>
      <w:r>
        <w:rPr>
          <w:rFonts w:hint="eastAsia" w:ascii="仿宋_GB2312" w:eastAsia="仿宋_GB2312" w:cs="宋体"/>
          <w:color w:val="3C3C3C"/>
          <w:kern w:val="0"/>
          <w:sz w:val="30"/>
          <w:szCs w:val="30"/>
        </w:rPr>
        <w:t xml:space="preserve"> </w:t>
      </w:r>
    </w:p>
    <w:p w14:paraId="1D0CD299">
      <w:pPr>
        <w:widowControl/>
        <w:spacing w:line="360" w:lineRule="auto"/>
        <w:ind w:firstLine="720"/>
        <w:jc w:val="left"/>
        <w:rPr>
          <w:rFonts w:ascii="仿宋_GB2312" w:eastAsia="仿宋_GB2312" w:cs="宋体"/>
          <w:color w:val="3C3C3C"/>
          <w:kern w:val="0"/>
          <w:sz w:val="30"/>
          <w:szCs w:val="30"/>
        </w:rPr>
      </w:pPr>
      <w:r>
        <w:rPr>
          <w:rFonts w:hint="eastAsia" w:ascii="仿宋_GB2312" w:eastAsia="仿宋_GB2312" w:cs="宋体"/>
          <w:color w:val="3C3C3C"/>
          <w:kern w:val="0"/>
          <w:sz w:val="30"/>
          <w:szCs w:val="30"/>
        </w:rPr>
        <w:t>招标公司 史先生  电话0372-3125922</w:t>
      </w:r>
    </w:p>
    <w:p w14:paraId="1B8BA1CD">
      <w:pPr>
        <w:widowControl/>
        <w:spacing w:line="360" w:lineRule="auto"/>
        <w:ind w:firstLine="720"/>
        <w:jc w:val="left"/>
        <w:rPr>
          <w:rFonts w:ascii="仿宋_GB2312" w:eastAsia="仿宋_GB2312" w:cs="宋体"/>
          <w:color w:val="3C3C3C"/>
          <w:kern w:val="0"/>
          <w:sz w:val="30"/>
          <w:szCs w:val="30"/>
        </w:rPr>
      </w:pPr>
    </w:p>
    <w:p w14:paraId="6F3D1BBF">
      <w:pPr>
        <w:widowControl/>
        <w:spacing w:line="360" w:lineRule="auto"/>
        <w:ind w:right="480" w:firstLine="720"/>
        <w:jc w:val="center"/>
      </w:pPr>
      <w:r>
        <w:rPr>
          <w:rFonts w:hint="eastAsia" w:ascii="仿宋_GB2312" w:eastAsia="仿宋_GB2312" w:cs="宋体"/>
          <w:color w:val="3C3C3C"/>
          <w:kern w:val="0"/>
          <w:sz w:val="30"/>
          <w:szCs w:val="30"/>
        </w:rPr>
        <w:t xml:space="preserve">               </w:t>
      </w:r>
    </w:p>
    <w:p w14:paraId="35DDDDFF">
      <w:pPr>
        <w:widowControl/>
        <w:spacing w:line="360" w:lineRule="auto"/>
        <w:ind w:right="480" w:firstLine="720"/>
        <w:jc w:val="center"/>
      </w:pPr>
    </w:p>
    <w:sectPr>
      <w:headerReference r:id="rId3" w:type="default"/>
      <w:footerReference r:id="rId4" w:type="default"/>
      <w:footerReference r:id="rId5" w:type="even"/>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1BFAE">
    <w:pPr>
      <w:pStyle w:val="3"/>
      <w:jc w:val="center"/>
    </w:pPr>
    <w:r>
      <w:fldChar w:fldCharType="begin"/>
    </w:r>
    <w:r>
      <w:instrText xml:space="preserve"> PAGE   \* MERGEFORMAT </w:instrText>
    </w:r>
    <w:r>
      <w:fldChar w:fldCharType="separate"/>
    </w:r>
    <w:r>
      <w:rPr>
        <w:lang w:val="zh-CN"/>
      </w:rPr>
      <w:t>1</w:t>
    </w:r>
    <w:r>
      <w:fldChar w:fldCharType="end"/>
    </w:r>
  </w:p>
  <w:p w14:paraId="46B42E3E">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7B23F">
    <w:pPr>
      <w:pStyle w:val="3"/>
      <w:framePr w:wrap="around" w:vAnchor="text" w:hAnchor="margin" w:xAlign="right" w:y="1"/>
      <w:rPr>
        <w:rStyle w:val="8"/>
      </w:rPr>
    </w:pPr>
    <w:r>
      <w:fldChar w:fldCharType="begin"/>
    </w:r>
    <w:r>
      <w:rPr>
        <w:rStyle w:val="8"/>
      </w:rPr>
      <w:instrText xml:space="preserve">PAGE  </w:instrText>
    </w:r>
    <w:r>
      <w:fldChar w:fldCharType="end"/>
    </w:r>
  </w:p>
  <w:p w14:paraId="59A657A8">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0B940">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2EB8E"/>
    <w:multiLevelType w:val="singleLevel"/>
    <w:tmpl w:val="CA12EB8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QxZGU5OTAyYzM4NDZhMWE5NjY3NmI5NDJmNWQxMWEifQ=="/>
  </w:docVars>
  <w:rsids>
    <w:rsidRoot w:val="37447DDC"/>
    <w:rsid w:val="000049A7"/>
    <w:rsid w:val="00011817"/>
    <w:rsid w:val="00013139"/>
    <w:rsid w:val="000B53A3"/>
    <w:rsid w:val="000B5A0D"/>
    <w:rsid w:val="000C3E04"/>
    <w:rsid w:val="000F329F"/>
    <w:rsid w:val="000F72FC"/>
    <w:rsid w:val="001239F9"/>
    <w:rsid w:val="00157D54"/>
    <w:rsid w:val="00194E06"/>
    <w:rsid w:val="00244816"/>
    <w:rsid w:val="00267EC7"/>
    <w:rsid w:val="00285FCC"/>
    <w:rsid w:val="002A253C"/>
    <w:rsid w:val="002D2117"/>
    <w:rsid w:val="00345C2B"/>
    <w:rsid w:val="003468F3"/>
    <w:rsid w:val="00385A05"/>
    <w:rsid w:val="00394524"/>
    <w:rsid w:val="003C49AA"/>
    <w:rsid w:val="003E5BE1"/>
    <w:rsid w:val="00413768"/>
    <w:rsid w:val="00431CCA"/>
    <w:rsid w:val="004759E0"/>
    <w:rsid w:val="004844B2"/>
    <w:rsid w:val="0049227F"/>
    <w:rsid w:val="004C5AEA"/>
    <w:rsid w:val="004C66A0"/>
    <w:rsid w:val="004E510B"/>
    <w:rsid w:val="004F0A59"/>
    <w:rsid w:val="005172FF"/>
    <w:rsid w:val="00521346"/>
    <w:rsid w:val="00550F2F"/>
    <w:rsid w:val="00554E85"/>
    <w:rsid w:val="005816A6"/>
    <w:rsid w:val="00594982"/>
    <w:rsid w:val="005D2B21"/>
    <w:rsid w:val="005E05CC"/>
    <w:rsid w:val="005E5F44"/>
    <w:rsid w:val="00624045"/>
    <w:rsid w:val="0062559E"/>
    <w:rsid w:val="00646FDD"/>
    <w:rsid w:val="0067108A"/>
    <w:rsid w:val="00682B8F"/>
    <w:rsid w:val="006941A6"/>
    <w:rsid w:val="006C4B08"/>
    <w:rsid w:val="006C5C4E"/>
    <w:rsid w:val="006C768C"/>
    <w:rsid w:val="007402CA"/>
    <w:rsid w:val="007550F8"/>
    <w:rsid w:val="00792307"/>
    <w:rsid w:val="0079735E"/>
    <w:rsid w:val="007D2056"/>
    <w:rsid w:val="007E3D41"/>
    <w:rsid w:val="008334E5"/>
    <w:rsid w:val="008652BA"/>
    <w:rsid w:val="008B7E6B"/>
    <w:rsid w:val="008D3248"/>
    <w:rsid w:val="008E50FD"/>
    <w:rsid w:val="009079DB"/>
    <w:rsid w:val="00955A62"/>
    <w:rsid w:val="00992844"/>
    <w:rsid w:val="009B1558"/>
    <w:rsid w:val="009F0FF3"/>
    <w:rsid w:val="009F537E"/>
    <w:rsid w:val="00A2657D"/>
    <w:rsid w:val="00A37AAE"/>
    <w:rsid w:val="00A41361"/>
    <w:rsid w:val="00A45C76"/>
    <w:rsid w:val="00A47A05"/>
    <w:rsid w:val="00A55B2E"/>
    <w:rsid w:val="00A77B47"/>
    <w:rsid w:val="00A8138D"/>
    <w:rsid w:val="00AA01E4"/>
    <w:rsid w:val="00AA5655"/>
    <w:rsid w:val="00B11505"/>
    <w:rsid w:val="00B25B2B"/>
    <w:rsid w:val="00B352D9"/>
    <w:rsid w:val="00B35CFC"/>
    <w:rsid w:val="00BA79E1"/>
    <w:rsid w:val="00BB5E4B"/>
    <w:rsid w:val="00BD1710"/>
    <w:rsid w:val="00BD4620"/>
    <w:rsid w:val="00BE3034"/>
    <w:rsid w:val="00BE59B3"/>
    <w:rsid w:val="00BE6414"/>
    <w:rsid w:val="00C1794A"/>
    <w:rsid w:val="00C657BA"/>
    <w:rsid w:val="00C8277F"/>
    <w:rsid w:val="00CF1767"/>
    <w:rsid w:val="00D265B9"/>
    <w:rsid w:val="00D30B4F"/>
    <w:rsid w:val="00DC5E00"/>
    <w:rsid w:val="00DD18AC"/>
    <w:rsid w:val="00DD3D91"/>
    <w:rsid w:val="00DE5DA2"/>
    <w:rsid w:val="00DF3EEB"/>
    <w:rsid w:val="00E02837"/>
    <w:rsid w:val="00E06234"/>
    <w:rsid w:val="00E27D6D"/>
    <w:rsid w:val="00E41C3C"/>
    <w:rsid w:val="00E51B36"/>
    <w:rsid w:val="00E63C0A"/>
    <w:rsid w:val="00E8424B"/>
    <w:rsid w:val="00E84917"/>
    <w:rsid w:val="00E84C3D"/>
    <w:rsid w:val="00E92E83"/>
    <w:rsid w:val="00EC5A98"/>
    <w:rsid w:val="00EE2CB6"/>
    <w:rsid w:val="00EF28C2"/>
    <w:rsid w:val="00F40B80"/>
    <w:rsid w:val="00F55F02"/>
    <w:rsid w:val="00F60E20"/>
    <w:rsid w:val="00FB3B0C"/>
    <w:rsid w:val="00FB4902"/>
    <w:rsid w:val="00FF0D47"/>
    <w:rsid w:val="00FF6DC5"/>
    <w:rsid w:val="01366C30"/>
    <w:rsid w:val="01E840B8"/>
    <w:rsid w:val="021734DC"/>
    <w:rsid w:val="024954DA"/>
    <w:rsid w:val="029A3980"/>
    <w:rsid w:val="02C844A1"/>
    <w:rsid w:val="02DF0069"/>
    <w:rsid w:val="02EA3A24"/>
    <w:rsid w:val="032C6FE3"/>
    <w:rsid w:val="032F274C"/>
    <w:rsid w:val="033904CF"/>
    <w:rsid w:val="03553E21"/>
    <w:rsid w:val="036678FE"/>
    <w:rsid w:val="03825D04"/>
    <w:rsid w:val="03AF61C2"/>
    <w:rsid w:val="04313EF8"/>
    <w:rsid w:val="043B34BD"/>
    <w:rsid w:val="0470397F"/>
    <w:rsid w:val="047C1DF1"/>
    <w:rsid w:val="04CD4C5A"/>
    <w:rsid w:val="04D923F1"/>
    <w:rsid w:val="0611492D"/>
    <w:rsid w:val="06497B03"/>
    <w:rsid w:val="066059CA"/>
    <w:rsid w:val="06BE1D4F"/>
    <w:rsid w:val="06CF51FC"/>
    <w:rsid w:val="06DE2398"/>
    <w:rsid w:val="076B5ACA"/>
    <w:rsid w:val="07B103C6"/>
    <w:rsid w:val="07FE3AC3"/>
    <w:rsid w:val="082A74C0"/>
    <w:rsid w:val="085C26F2"/>
    <w:rsid w:val="08E7356B"/>
    <w:rsid w:val="09124600"/>
    <w:rsid w:val="092C702C"/>
    <w:rsid w:val="092D14C9"/>
    <w:rsid w:val="092E31EA"/>
    <w:rsid w:val="09C91DC4"/>
    <w:rsid w:val="09F2265A"/>
    <w:rsid w:val="0A1B6C8A"/>
    <w:rsid w:val="0A9379EE"/>
    <w:rsid w:val="0B804EB1"/>
    <w:rsid w:val="0C23777F"/>
    <w:rsid w:val="0C992329"/>
    <w:rsid w:val="0CE642FD"/>
    <w:rsid w:val="0D183D8B"/>
    <w:rsid w:val="0D5E31D9"/>
    <w:rsid w:val="0D6801CA"/>
    <w:rsid w:val="0D771A45"/>
    <w:rsid w:val="0DA4370A"/>
    <w:rsid w:val="0E2449B2"/>
    <w:rsid w:val="0EFF238A"/>
    <w:rsid w:val="0FA460A7"/>
    <w:rsid w:val="108717C1"/>
    <w:rsid w:val="10DB07BF"/>
    <w:rsid w:val="111A5B50"/>
    <w:rsid w:val="1127133E"/>
    <w:rsid w:val="114C5F3F"/>
    <w:rsid w:val="11A976A8"/>
    <w:rsid w:val="11B34631"/>
    <w:rsid w:val="11BF4EDB"/>
    <w:rsid w:val="11F55610"/>
    <w:rsid w:val="121A4CCE"/>
    <w:rsid w:val="126D19CB"/>
    <w:rsid w:val="12DC3AAD"/>
    <w:rsid w:val="12E017EF"/>
    <w:rsid w:val="13933452"/>
    <w:rsid w:val="13B43674"/>
    <w:rsid w:val="13C84105"/>
    <w:rsid w:val="149D3486"/>
    <w:rsid w:val="15DC45FD"/>
    <w:rsid w:val="16473933"/>
    <w:rsid w:val="164A1896"/>
    <w:rsid w:val="166065DB"/>
    <w:rsid w:val="16AA4522"/>
    <w:rsid w:val="16B341FA"/>
    <w:rsid w:val="16C01BD6"/>
    <w:rsid w:val="16E21A97"/>
    <w:rsid w:val="1767149E"/>
    <w:rsid w:val="17A15D5E"/>
    <w:rsid w:val="17F178F7"/>
    <w:rsid w:val="181740CA"/>
    <w:rsid w:val="182D2E39"/>
    <w:rsid w:val="189B31D5"/>
    <w:rsid w:val="19A841F6"/>
    <w:rsid w:val="19B61690"/>
    <w:rsid w:val="19B83906"/>
    <w:rsid w:val="1B022024"/>
    <w:rsid w:val="1BC3580A"/>
    <w:rsid w:val="1BC96689"/>
    <w:rsid w:val="1C1C184E"/>
    <w:rsid w:val="1CD550C3"/>
    <w:rsid w:val="1CE65DC8"/>
    <w:rsid w:val="1CEF3BB7"/>
    <w:rsid w:val="1D260E92"/>
    <w:rsid w:val="1D5C4168"/>
    <w:rsid w:val="1DF5311E"/>
    <w:rsid w:val="1E073CEB"/>
    <w:rsid w:val="1E641526"/>
    <w:rsid w:val="1FDC68E1"/>
    <w:rsid w:val="1FE84E17"/>
    <w:rsid w:val="20355DF7"/>
    <w:rsid w:val="221C3A88"/>
    <w:rsid w:val="22343DFC"/>
    <w:rsid w:val="225451FA"/>
    <w:rsid w:val="22E30469"/>
    <w:rsid w:val="22FD56AE"/>
    <w:rsid w:val="23607DE2"/>
    <w:rsid w:val="24575689"/>
    <w:rsid w:val="25283F8C"/>
    <w:rsid w:val="252F4528"/>
    <w:rsid w:val="25983645"/>
    <w:rsid w:val="259D62A8"/>
    <w:rsid w:val="26D6674C"/>
    <w:rsid w:val="26FF4CDB"/>
    <w:rsid w:val="281B2518"/>
    <w:rsid w:val="28237071"/>
    <w:rsid w:val="28413655"/>
    <w:rsid w:val="284C3E62"/>
    <w:rsid w:val="28553C8E"/>
    <w:rsid w:val="29215E48"/>
    <w:rsid w:val="297E0D57"/>
    <w:rsid w:val="29A12D6F"/>
    <w:rsid w:val="29D02DC4"/>
    <w:rsid w:val="2A087ACA"/>
    <w:rsid w:val="2AB71ECA"/>
    <w:rsid w:val="2ABC6246"/>
    <w:rsid w:val="2B07377D"/>
    <w:rsid w:val="2B143FA9"/>
    <w:rsid w:val="2B1A7179"/>
    <w:rsid w:val="2B89731C"/>
    <w:rsid w:val="2B9B0404"/>
    <w:rsid w:val="2C6D0AE1"/>
    <w:rsid w:val="2D1242CD"/>
    <w:rsid w:val="2D332398"/>
    <w:rsid w:val="2D5E7B67"/>
    <w:rsid w:val="2D71382B"/>
    <w:rsid w:val="2E870919"/>
    <w:rsid w:val="2EE36EA4"/>
    <w:rsid w:val="2EF47610"/>
    <w:rsid w:val="2F0B32F8"/>
    <w:rsid w:val="2F3237B2"/>
    <w:rsid w:val="2F371947"/>
    <w:rsid w:val="302C3730"/>
    <w:rsid w:val="307126F1"/>
    <w:rsid w:val="30D51B4C"/>
    <w:rsid w:val="30EF5A81"/>
    <w:rsid w:val="310A0B01"/>
    <w:rsid w:val="31D274F1"/>
    <w:rsid w:val="31DF6257"/>
    <w:rsid w:val="323B550E"/>
    <w:rsid w:val="32EC33D2"/>
    <w:rsid w:val="33254D7D"/>
    <w:rsid w:val="33D3693A"/>
    <w:rsid w:val="340B78F6"/>
    <w:rsid w:val="34F07218"/>
    <w:rsid w:val="35020E9C"/>
    <w:rsid w:val="354D1C35"/>
    <w:rsid w:val="355F169F"/>
    <w:rsid w:val="358F4200"/>
    <w:rsid w:val="35DC6CE2"/>
    <w:rsid w:val="35E14DB3"/>
    <w:rsid w:val="36420C36"/>
    <w:rsid w:val="367720B5"/>
    <w:rsid w:val="369D060F"/>
    <w:rsid w:val="370D3E5B"/>
    <w:rsid w:val="373D426B"/>
    <w:rsid w:val="37447DDC"/>
    <w:rsid w:val="3747726E"/>
    <w:rsid w:val="38196A86"/>
    <w:rsid w:val="383471A6"/>
    <w:rsid w:val="38FB466A"/>
    <w:rsid w:val="3A593353"/>
    <w:rsid w:val="3AA42283"/>
    <w:rsid w:val="3AED48A7"/>
    <w:rsid w:val="3AFE107A"/>
    <w:rsid w:val="3B174D09"/>
    <w:rsid w:val="3B2976C7"/>
    <w:rsid w:val="3CAD41CD"/>
    <w:rsid w:val="3D442FDB"/>
    <w:rsid w:val="3D816EFE"/>
    <w:rsid w:val="3D887A68"/>
    <w:rsid w:val="3DDF2B63"/>
    <w:rsid w:val="3E1D0952"/>
    <w:rsid w:val="3E4638EF"/>
    <w:rsid w:val="3F052F23"/>
    <w:rsid w:val="3F861365"/>
    <w:rsid w:val="3F8952F5"/>
    <w:rsid w:val="3F9126EB"/>
    <w:rsid w:val="3FB27F1C"/>
    <w:rsid w:val="3FEF65AC"/>
    <w:rsid w:val="412F7C5E"/>
    <w:rsid w:val="418E333B"/>
    <w:rsid w:val="41951714"/>
    <w:rsid w:val="419D4283"/>
    <w:rsid w:val="41C97F90"/>
    <w:rsid w:val="42370662"/>
    <w:rsid w:val="42403F59"/>
    <w:rsid w:val="42677892"/>
    <w:rsid w:val="42F02AD9"/>
    <w:rsid w:val="431C3962"/>
    <w:rsid w:val="437C13B9"/>
    <w:rsid w:val="43FB4D7A"/>
    <w:rsid w:val="440A25DE"/>
    <w:rsid w:val="44C00F8C"/>
    <w:rsid w:val="45274EE7"/>
    <w:rsid w:val="465B7BD9"/>
    <w:rsid w:val="46AF1C24"/>
    <w:rsid w:val="46DA203A"/>
    <w:rsid w:val="47543CA5"/>
    <w:rsid w:val="47D12ED9"/>
    <w:rsid w:val="483D41D7"/>
    <w:rsid w:val="486D33B3"/>
    <w:rsid w:val="48926112"/>
    <w:rsid w:val="49EF5898"/>
    <w:rsid w:val="4A190B67"/>
    <w:rsid w:val="4A502A70"/>
    <w:rsid w:val="4A5873BA"/>
    <w:rsid w:val="4A5D624D"/>
    <w:rsid w:val="4AA1614D"/>
    <w:rsid w:val="4B662085"/>
    <w:rsid w:val="4BA206E8"/>
    <w:rsid w:val="4BE86860"/>
    <w:rsid w:val="4C2630C7"/>
    <w:rsid w:val="4C922774"/>
    <w:rsid w:val="4D1A4D9A"/>
    <w:rsid w:val="4DCE032E"/>
    <w:rsid w:val="4DFA3CD8"/>
    <w:rsid w:val="4E1205F6"/>
    <w:rsid w:val="4E655B49"/>
    <w:rsid w:val="4E793370"/>
    <w:rsid w:val="4EA07161"/>
    <w:rsid w:val="4EA529C9"/>
    <w:rsid w:val="4F925826"/>
    <w:rsid w:val="4FF33313"/>
    <w:rsid w:val="50110396"/>
    <w:rsid w:val="50B33903"/>
    <w:rsid w:val="50F735AF"/>
    <w:rsid w:val="51121E6C"/>
    <w:rsid w:val="51144CC4"/>
    <w:rsid w:val="514A4D47"/>
    <w:rsid w:val="51BF1FF4"/>
    <w:rsid w:val="51C207B0"/>
    <w:rsid w:val="51D3784E"/>
    <w:rsid w:val="51DB5D44"/>
    <w:rsid w:val="51FD21EE"/>
    <w:rsid w:val="5202784F"/>
    <w:rsid w:val="523A124A"/>
    <w:rsid w:val="5248060E"/>
    <w:rsid w:val="528E273F"/>
    <w:rsid w:val="52EF2D37"/>
    <w:rsid w:val="533428D6"/>
    <w:rsid w:val="53745CBB"/>
    <w:rsid w:val="538B69CF"/>
    <w:rsid w:val="53AA79AE"/>
    <w:rsid w:val="53D903E5"/>
    <w:rsid w:val="53E06252"/>
    <w:rsid w:val="53E5788A"/>
    <w:rsid w:val="53E65A5D"/>
    <w:rsid w:val="54082B8D"/>
    <w:rsid w:val="54650637"/>
    <w:rsid w:val="54661386"/>
    <w:rsid w:val="546C6B0E"/>
    <w:rsid w:val="54920996"/>
    <w:rsid w:val="54AD351F"/>
    <w:rsid w:val="54B46842"/>
    <w:rsid w:val="54C41F87"/>
    <w:rsid w:val="54EA1C71"/>
    <w:rsid w:val="55175CA3"/>
    <w:rsid w:val="556051D4"/>
    <w:rsid w:val="556C7027"/>
    <w:rsid w:val="559862DB"/>
    <w:rsid w:val="568D479F"/>
    <w:rsid w:val="56AD053A"/>
    <w:rsid w:val="56CB639B"/>
    <w:rsid w:val="574C540B"/>
    <w:rsid w:val="57BD7EC4"/>
    <w:rsid w:val="57E11449"/>
    <w:rsid w:val="586E2AA3"/>
    <w:rsid w:val="58A00B1A"/>
    <w:rsid w:val="58C418C7"/>
    <w:rsid w:val="58F55806"/>
    <w:rsid w:val="590622C3"/>
    <w:rsid w:val="591C694F"/>
    <w:rsid w:val="59CC23C9"/>
    <w:rsid w:val="59D20DE0"/>
    <w:rsid w:val="5A34358B"/>
    <w:rsid w:val="5A4C4641"/>
    <w:rsid w:val="5A525F8F"/>
    <w:rsid w:val="5A564309"/>
    <w:rsid w:val="5A7C744B"/>
    <w:rsid w:val="5A911C31"/>
    <w:rsid w:val="5AEB6DE1"/>
    <w:rsid w:val="5B6360E6"/>
    <w:rsid w:val="5BA863C5"/>
    <w:rsid w:val="5C3B496D"/>
    <w:rsid w:val="5C54110B"/>
    <w:rsid w:val="5CAB6361"/>
    <w:rsid w:val="5CF767B5"/>
    <w:rsid w:val="5D3F7FD7"/>
    <w:rsid w:val="5D893E1B"/>
    <w:rsid w:val="5DA05F8D"/>
    <w:rsid w:val="5DC1219E"/>
    <w:rsid w:val="5DD7691D"/>
    <w:rsid w:val="5DDD2180"/>
    <w:rsid w:val="5DFE3D73"/>
    <w:rsid w:val="5E516FE3"/>
    <w:rsid w:val="5E6C0B44"/>
    <w:rsid w:val="5E820433"/>
    <w:rsid w:val="5E830B07"/>
    <w:rsid w:val="5EE677DE"/>
    <w:rsid w:val="5EEC09D1"/>
    <w:rsid w:val="5EEF3433"/>
    <w:rsid w:val="5EF36283"/>
    <w:rsid w:val="5F5E5BFD"/>
    <w:rsid w:val="5FBF35C7"/>
    <w:rsid w:val="603409E6"/>
    <w:rsid w:val="60744832"/>
    <w:rsid w:val="6079068C"/>
    <w:rsid w:val="60D55040"/>
    <w:rsid w:val="61045A79"/>
    <w:rsid w:val="61395F09"/>
    <w:rsid w:val="61862008"/>
    <w:rsid w:val="61987983"/>
    <w:rsid w:val="61D957F5"/>
    <w:rsid w:val="61E15FB7"/>
    <w:rsid w:val="61FD52C8"/>
    <w:rsid w:val="62304B3D"/>
    <w:rsid w:val="62DC3FDE"/>
    <w:rsid w:val="62EE309D"/>
    <w:rsid w:val="62F31AFE"/>
    <w:rsid w:val="63544CBA"/>
    <w:rsid w:val="639130C5"/>
    <w:rsid w:val="639A01D1"/>
    <w:rsid w:val="643A5E39"/>
    <w:rsid w:val="64990483"/>
    <w:rsid w:val="649F2FF9"/>
    <w:rsid w:val="64CC6AAA"/>
    <w:rsid w:val="64EA6F30"/>
    <w:rsid w:val="64F57D05"/>
    <w:rsid w:val="6562740E"/>
    <w:rsid w:val="660B715E"/>
    <w:rsid w:val="66886A01"/>
    <w:rsid w:val="66BB7EE9"/>
    <w:rsid w:val="66FE65A9"/>
    <w:rsid w:val="6705170C"/>
    <w:rsid w:val="674D66B6"/>
    <w:rsid w:val="67DC4982"/>
    <w:rsid w:val="67F7442F"/>
    <w:rsid w:val="683B2D71"/>
    <w:rsid w:val="69A65C9F"/>
    <w:rsid w:val="6A0E2C2E"/>
    <w:rsid w:val="6A2955C9"/>
    <w:rsid w:val="6A4F76DF"/>
    <w:rsid w:val="6A7F1472"/>
    <w:rsid w:val="6AA420F5"/>
    <w:rsid w:val="6BAB0AC7"/>
    <w:rsid w:val="6BD14178"/>
    <w:rsid w:val="6BFF03E4"/>
    <w:rsid w:val="6C6D2921"/>
    <w:rsid w:val="6D6F4AA1"/>
    <w:rsid w:val="6D8B3096"/>
    <w:rsid w:val="6DA571DB"/>
    <w:rsid w:val="6E13525A"/>
    <w:rsid w:val="6E46703F"/>
    <w:rsid w:val="6F20557E"/>
    <w:rsid w:val="6F467459"/>
    <w:rsid w:val="6F6618A9"/>
    <w:rsid w:val="6FAE27CB"/>
    <w:rsid w:val="6FF818D6"/>
    <w:rsid w:val="7026111F"/>
    <w:rsid w:val="7068600E"/>
    <w:rsid w:val="70FC0B2F"/>
    <w:rsid w:val="717A167F"/>
    <w:rsid w:val="7191094A"/>
    <w:rsid w:val="71D34D93"/>
    <w:rsid w:val="71DF52E9"/>
    <w:rsid w:val="72834520"/>
    <w:rsid w:val="728F1117"/>
    <w:rsid w:val="72DA2676"/>
    <w:rsid w:val="73024FC7"/>
    <w:rsid w:val="733448E9"/>
    <w:rsid w:val="738A4BC1"/>
    <w:rsid w:val="73905147"/>
    <w:rsid w:val="73913003"/>
    <w:rsid w:val="73C86F56"/>
    <w:rsid w:val="74187FFC"/>
    <w:rsid w:val="743774AB"/>
    <w:rsid w:val="744A7750"/>
    <w:rsid w:val="74797C27"/>
    <w:rsid w:val="74BE4BA0"/>
    <w:rsid w:val="74C81240"/>
    <w:rsid w:val="74CF1C9F"/>
    <w:rsid w:val="74DD289E"/>
    <w:rsid w:val="753C4357"/>
    <w:rsid w:val="7558435B"/>
    <w:rsid w:val="756C5D4F"/>
    <w:rsid w:val="75932CCC"/>
    <w:rsid w:val="75A04355"/>
    <w:rsid w:val="75AB178E"/>
    <w:rsid w:val="760A11E0"/>
    <w:rsid w:val="769B008A"/>
    <w:rsid w:val="76D57F1A"/>
    <w:rsid w:val="76DA32A9"/>
    <w:rsid w:val="77C24FC6"/>
    <w:rsid w:val="77FF1D16"/>
    <w:rsid w:val="78E75439"/>
    <w:rsid w:val="79252FB5"/>
    <w:rsid w:val="79523E26"/>
    <w:rsid w:val="798D017C"/>
    <w:rsid w:val="79B527BA"/>
    <w:rsid w:val="79DB0F80"/>
    <w:rsid w:val="7A087CE1"/>
    <w:rsid w:val="7A560E98"/>
    <w:rsid w:val="7B186063"/>
    <w:rsid w:val="7B20563F"/>
    <w:rsid w:val="7B220D7A"/>
    <w:rsid w:val="7B2D17A2"/>
    <w:rsid w:val="7B457C93"/>
    <w:rsid w:val="7B6A2721"/>
    <w:rsid w:val="7C38795A"/>
    <w:rsid w:val="7C76223E"/>
    <w:rsid w:val="7CF94101"/>
    <w:rsid w:val="7D046A67"/>
    <w:rsid w:val="7D1317BB"/>
    <w:rsid w:val="7D395141"/>
    <w:rsid w:val="7D9A7C92"/>
    <w:rsid w:val="7DD724A3"/>
    <w:rsid w:val="7DE467BB"/>
    <w:rsid w:val="7E5F5266"/>
    <w:rsid w:val="7EA72438"/>
    <w:rsid w:val="7EA73CC4"/>
    <w:rsid w:val="7EB9515C"/>
    <w:rsid w:val="7ED402A1"/>
    <w:rsid w:val="7EE266CA"/>
    <w:rsid w:val="7F8E47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ascii="Times New Roman" w:hAnsi="Times New Roman"/>
      <w:kern w:val="0"/>
      <w:sz w:val="24"/>
    </w:rPr>
  </w:style>
  <w:style w:type="character" w:styleId="8">
    <w:name w:val="page number"/>
    <w:basedOn w:val="7"/>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2732</Words>
  <Characters>2927</Characters>
  <Lines>22</Lines>
  <Paragraphs>6</Paragraphs>
  <TotalTime>1</TotalTime>
  <ScaleCrop>false</ScaleCrop>
  <LinksUpToDate>false</LinksUpToDate>
  <CharactersWithSpaces>2982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2021-03-17T09:32:00Z</dcterms:created>
  <dc:creator>李建法</dc:creator>
  <cp:lastModifiedBy>野子</cp:lastModifiedBy>
  <dcterms:modified xsi:type="dcterms:W3CDTF">2025-03-12T02:25:08Z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8210493431B94E21A99F2D34C7F1FB98</vt:lpwstr>
  </property>
  <property fmtid="{D5CDD505-2E9C-101B-9397-08002B2CF9AE}" pid="4" name="KSOTemplateDocerSaveRecord">
    <vt:lpwstr>eyJoZGlkIjoiMmQxZGU5OTAyYzM4NDZhMWE5NjY3NmI5NDJmNWQxMWEiLCJ1c2VySWQiOiI0NjU0MTAwOTAifQ==</vt:lpwstr>
  </property>
</Properties>
</file>