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97"/>
        <w:jc w:val="center"/>
        <w:rPr>
          <w:rFonts w:hint="eastAsia" w:ascii="宋体" w:hAnsi="宋体" w:eastAsia="宋体"/>
          <w:b/>
          <w:bCs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44"/>
          <w:szCs w:val="44"/>
        </w:rPr>
        <w:t>固体废物</w:t>
      </w:r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委托利用处置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合规管理</w:t>
      </w:r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要求</w:t>
      </w:r>
    </w:p>
    <w:p>
      <w:pPr>
        <w:pStyle w:val="6"/>
        <w:spacing w:line="240" w:lineRule="auto"/>
        <w:ind w:firstLine="56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为落实《中华人民固体废物污染环境防治法》等法律法规，结合近期固体废物环保管控实际，特对受托利用处置固体废物的单位（简称受托方）和委托利用处置固体废物的单位（简称委托方）提出如下要求：</w:t>
      </w:r>
    </w:p>
    <w:p>
      <w:pPr>
        <w:pStyle w:val="6"/>
        <w:spacing w:line="240" w:lineRule="auto"/>
        <w:ind w:firstLine="56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一、受托方</w:t>
      </w:r>
    </w:p>
    <w:p>
      <w:pPr>
        <w:pStyle w:val="6"/>
        <w:spacing w:line="240" w:lineRule="auto"/>
        <w:ind w:firstLine="56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1.取得</w:t>
      </w:r>
      <w:r>
        <w:rPr>
          <w:rFonts w:hint="eastAsia" w:ascii="仿宋" w:hAnsi="仿宋" w:eastAsia="仿宋" w:cs="仿宋"/>
          <w:sz w:val="32"/>
          <w:szCs w:val="32"/>
        </w:rPr>
        <w:t>排污许可证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，且在有效期。</w:t>
      </w:r>
    </w:p>
    <w:p>
      <w:pPr>
        <w:pStyle w:val="6"/>
        <w:spacing w:line="240" w:lineRule="auto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2.项目完成</w:t>
      </w:r>
      <w:r>
        <w:rPr>
          <w:rFonts w:hint="eastAsia" w:ascii="仿宋" w:hAnsi="仿宋" w:eastAsia="仿宋" w:cs="仿宋"/>
          <w:sz w:val="32"/>
          <w:szCs w:val="32"/>
        </w:rPr>
        <w:t>环评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及审批、竣工验收，项目环评主体单位须与受托方名称一致。</w:t>
      </w:r>
    </w:p>
    <w:p>
      <w:pPr>
        <w:pStyle w:val="6"/>
        <w:spacing w:line="240" w:lineRule="auto"/>
        <w:ind w:firstLine="56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3.具有利用处置受托固体废物的</w:t>
      </w:r>
      <w:r>
        <w:rPr>
          <w:rFonts w:hint="eastAsia" w:ascii="仿宋" w:hAnsi="仿宋" w:eastAsia="仿宋" w:cs="仿宋"/>
          <w:sz w:val="32"/>
          <w:szCs w:val="32"/>
        </w:rPr>
        <w:t>主体资格和技术能力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6"/>
        <w:spacing w:line="240" w:lineRule="auto"/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4.建立固体废物接收、利用处置台账。</w:t>
      </w:r>
    </w:p>
    <w:p>
      <w:pPr>
        <w:pStyle w:val="6"/>
        <w:spacing w:line="240" w:lineRule="auto"/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5.按照环评及排污许可要求运行配套的环保设施，并达标运行。</w:t>
      </w:r>
    </w:p>
    <w:p>
      <w:pPr>
        <w:pStyle w:val="6"/>
        <w:spacing w:line="240" w:lineRule="auto"/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6.定期监测污染物达标情况，并达标排放。</w:t>
      </w:r>
    </w:p>
    <w:p>
      <w:pPr>
        <w:pStyle w:val="6"/>
        <w:spacing w:line="240" w:lineRule="auto"/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7.利用固体废物生产的产品符合相关标准。</w:t>
      </w:r>
    </w:p>
    <w:p>
      <w:pPr>
        <w:pStyle w:val="6"/>
        <w:spacing w:line="240" w:lineRule="auto"/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8.合规处置固体废物利用处置过程产生的废水、废液和固体废物。</w:t>
      </w:r>
    </w:p>
    <w:p>
      <w:pPr>
        <w:pStyle w:val="6"/>
        <w:spacing w:line="240" w:lineRule="auto"/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9.受托利用处置的固体废物不得超过环评批复总量，不得变更利用处置方式。</w:t>
      </w:r>
    </w:p>
    <w:p>
      <w:pPr>
        <w:pStyle w:val="6"/>
        <w:spacing w:line="240" w:lineRule="auto"/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10.定期向委托方反馈固体废物利用处置情况。</w:t>
      </w:r>
    </w:p>
    <w:p>
      <w:pPr>
        <w:pStyle w:val="6"/>
        <w:spacing w:line="240" w:lineRule="auto"/>
        <w:ind w:firstLine="56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二、委托方</w:t>
      </w:r>
    </w:p>
    <w:p>
      <w:pPr>
        <w:pStyle w:val="6"/>
        <w:spacing w:line="240" w:lineRule="auto"/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1.审核受托方营业执照、环评及批复、排污许可等资质文件，核查委托利用处置固体废物的能力。</w:t>
      </w:r>
    </w:p>
    <w:p>
      <w:pPr>
        <w:pStyle w:val="6"/>
        <w:spacing w:line="240" w:lineRule="auto"/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2.与受托方签订运输、委托加工利用、处置合同，在合同中约定污染防治要求。</w:t>
      </w:r>
    </w:p>
    <w:p>
      <w:pPr>
        <w:pStyle w:val="6"/>
        <w:spacing w:line="240" w:lineRule="auto"/>
        <w:ind w:firstLine="56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现场核查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受托方</w:t>
      </w:r>
      <w:r>
        <w:rPr>
          <w:rFonts w:hint="eastAsia" w:ascii="仿宋" w:hAnsi="仿宋" w:eastAsia="仿宋" w:cs="仿宋"/>
          <w:sz w:val="32"/>
          <w:szCs w:val="32"/>
        </w:rPr>
        <w:t>贮存设施和生产设施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，以及固体废物利用处置情况，核查记录、影像资料留存。对固体废物利用处置情况延伸管理，确保风险可控。</w:t>
      </w:r>
    </w:p>
    <w:p>
      <w:pPr>
        <w:pStyle w:val="7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4.建立固体废物产生、利用处置台账。</w:t>
      </w:r>
    </w:p>
    <w:p>
      <w:pPr>
        <w:pStyle w:val="7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5.跨省利用固体废物，报生态环境部门备案；跨省贮存、处置固体废物，报请生态环境部门批准。</w:t>
      </w:r>
    </w:p>
    <w:p>
      <w:pPr>
        <w:pStyle w:val="6"/>
        <w:ind w:firstLine="560"/>
        <w:rPr>
          <w:rFonts w:hint="eastAsia" w:ascii="FangSong_GB2312" w:hAnsi="FangSong_GB2312" w:eastAsia="FangSong_GB2312"/>
          <w:sz w:val="28"/>
          <w:szCs w:val="2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D050000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050000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2599646" o:spid="_x0000_s2070" o:spt="136" type="#_x0000_t136" style="position:absolute;left:0pt;margin-left:400.1pt;margin-top:599.85pt;height:14pt;width:130pt;mso-position-horizontal-relative:margin;mso-position-vertical-relative:margin;rotation:-2949120f;z-index:-25163673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11660725" o:spid="_x0000_s2069" o:spt="136" type="#_x0000_t136" style="position:absolute;left:0pt;margin-left:272.8pt;margin-top:727.1pt;height:14pt;width:130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10947202" o:spid="_x0000_s2068" o:spt="136" type="#_x0000_t136" style="position:absolute;left:0pt;margin-left:400.1pt;margin-top:394.5pt;height:14pt;width:130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10856968" o:spid="_x0000_s2067" o:spt="136" type="#_x0000_t136" style="position:absolute;left:0pt;margin-left:272.8pt;margin-top:521.8pt;height:14pt;width:130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9926534" o:spid="_x0000_s2066" o:spt="136" type="#_x0000_t136" style="position:absolute;left:0pt;margin-left:145.5pt;margin-top:649.05pt;height:14pt;width:130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9495148" o:spid="_x0000_s2065" o:spt="136" type="#_x0000_t136" style="position:absolute;left:0pt;margin-left:18.25pt;margin-top:776.35pt;height:14pt;width:130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8606578" o:spid="_x0000_s2064" o:spt="136" type="#_x0000_t136" style="position:absolute;left:0pt;margin-left:400.1pt;margin-top:189.2pt;height:14pt;width:130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7856082" o:spid="_x0000_s2063" o:spt="136" type="#_x0000_t136" style="position:absolute;left:0pt;margin-left:272.8pt;margin-top:316.5pt;height:14pt;width:130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7153167" o:spid="_x0000_s2062" o:spt="136" type="#_x0000_t136" style="position:absolute;left:0pt;margin-left:145.5pt;margin-top:443.75pt;height:14pt;width:130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6947434" o:spid="_x0000_s2061" o:spt="136" type="#_x0000_t136" style="position:absolute;left:0pt;margin-left:18.25pt;margin-top:571.05pt;height:14pt;width:130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6657872" o:spid="_x0000_s2060" o:spt="136" type="#_x0000_t136" style="position:absolute;left:0pt;margin-left:-109.05pt;margin-top:698.3pt;height:14pt;width:130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6569866" o:spid="_x0000_s2059" o:spt="136" type="#_x0000_t136" style="position:absolute;left:0pt;margin-left:400.1pt;margin-top:-16.1pt;height:14pt;width:130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5704076" o:spid="_x0000_s2058" o:spt="136" type="#_x0000_t136" style="position:absolute;left:0pt;margin-left:272.8pt;margin-top:111.15pt;height:14pt;width:130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5531577" o:spid="_x0000_s2057" o:spt="136" type="#_x0000_t136" style="position:absolute;left:0pt;margin-left:145.5pt;margin-top:238.45pt;height:14pt;width:130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4522062" o:spid="_x0000_s2056" o:spt="136" type="#_x0000_t136" style="position:absolute;left:0pt;margin-left:18.25pt;margin-top:365.7pt;height:14pt;width:130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3584207" o:spid="_x0000_s2055" o:spt="136" type="#_x0000_t136" style="position:absolute;left:0pt;margin-left:-109.05pt;margin-top:493pt;height:14pt;width:130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3074722" o:spid="_x0000_s2054" o:spt="136" type="#_x0000_t136" style="position:absolute;left:0pt;margin-left:272.8pt;margin-top:-94.15pt;height:14pt;width:130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2885599" o:spid="_x0000_s2053" o:spt="136" type="#_x0000_t136" style="position:absolute;left:0pt;margin-left:145.5pt;margin-top:33.15pt;height:14pt;width:130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2297201" o:spid="_x0000_s2052" o:spt="136" type="#_x0000_t136" style="position:absolute;left:0pt;margin-left:18.25pt;margin-top:160.4pt;height:14pt;width:130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2027005" o:spid="_x0000_s2051" o:spt="136" type="#_x0000_t136" style="position:absolute;left:0pt;margin-left:-109.05pt;margin-top:287.7pt;height:14pt;width:130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1131484" o:spid="_x0000_s2050" o:spt="136" type="#_x0000_t136" style="position:absolute;left:0pt;margin-left:18.25pt;margin-top:-44.9pt;height:14pt;width:130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330232" o:spid="_x0000_s2049" o:spt="136" type="#_x0000_t136" style="position:absolute;left:0pt;margin-left:-109.05pt;margin-top:82.35pt;height:14pt;width:130pt;mso-position-horizontal-relative:margin;mso-position-vertical-relative:margin;rotation:-2949120f;z-index:-25165824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4250C"/>
    <w:rsid w:val="04510507"/>
    <w:rsid w:val="0C2352A5"/>
    <w:rsid w:val="0DF10939"/>
    <w:rsid w:val="2744754F"/>
    <w:rsid w:val="38462192"/>
    <w:rsid w:val="3E1D27A1"/>
    <w:rsid w:val="465A7D16"/>
    <w:rsid w:val="46E634C3"/>
    <w:rsid w:val="50893631"/>
    <w:rsid w:val="5E18033D"/>
    <w:rsid w:val="7894250C"/>
    <w:rsid w:val="7FFDE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CM1"/>
    <w:basedOn w:val="7"/>
    <w:next w:val="7"/>
    <w:unhideWhenUsed/>
    <w:qFormat/>
    <w:uiPriority w:val="99"/>
    <w:pPr>
      <w:spacing w:line="626" w:lineRule="atLeast"/>
    </w:pPr>
    <w:rPr>
      <w:rFonts w:hint="eastAsia"/>
      <w:sz w:val="24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2025-06-13T11:01:00Z</dcterms:created>
  <dc:creator>吕俊红</dc:creator>
  <cp:lastModifiedBy>root</cp:lastModifiedBy>
  <dcterms:modified xsi:type="dcterms:W3CDTF">2025-06-17T02:59:42Z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2052-11.8.2.10299</vt:lpwstr>
  </property>
</Properties>
</file>