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CE9FB">
      <w:pPr>
        <w:spacing w:before="480" w:after="480" w:line="288" w:lineRule="auto"/>
        <w:ind w:left="0"/>
        <w:jc w:val="center"/>
        <w:rPr>
          <w:rFonts w:hint="eastAsia" w:asciiTheme="minorEastAsia" w:hAnsiTheme="minorEastAsia" w:eastAsiaTheme="minorEastAsia" w:cstheme="minorEastAsia"/>
        </w:rPr>
      </w:pPr>
      <w:r>
        <w:rPr>
          <w:rFonts w:hint="eastAsia" w:asciiTheme="minorEastAsia" w:hAnsiTheme="minorEastAsia" w:cstheme="minorEastAsia"/>
          <w:b/>
          <w:sz w:val="52"/>
          <w:lang w:val="en-US" w:eastAsia="zh-CN"/>
        </w:rPr>
        <w:t>2026</w:t>
      </w:r>
      <w:r>
        <w:rPr>
          <w:rFonts w:hint="eastAsia" w:asciiTheme="minorEastAsia" w:hAnsiTheme="minorEastAsia" w:eastAsiaTheme="minorEastAsia" w:cstheme="minorEastAsia"/>
          <w:b/>
          <w:sz w:val="52"/>
        </w:rPr>
        <w:t>及2027年度一般工业固体废物处置服务</w:t>
      </w:r>
      <w:bookmarkStart w:id="9" w:name="_GoBack"/>
      <w:bookmarkEnd w:id="9"/>
    </w:p>
    <w:p w14:paraId="7F98E6D3">
      <w:pPr>
        <w:spacing w:before="120" w:after="120" w:line="288" w:lineRule="auto"/>
        <w:ind w:left="0"/>
        <w:jc w:val="left"/>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22"/>
        </w:rPr>
        <w:t>项目名称：中钢集团郑州金属制品研究院股份有限公司</w:t>
      </w:r>
      <w:r>
        <w:rPr>
          <w:rFonts w:hint="eastAsia" w:asciiTheme="minorEastAsia" w:hAnsiTheme="minorEastAsia" w:cstheme="minorEastAsia"/>
          <w:sz w:val="22"/>
          <w:lang w:val="en-US" w:eastAsia="zh-CN"/>
        </w:rPr>
        <w:t>2026</w:t>
      </w:r>
      <w:r>
        <w:rPr>
          <w:rFonts w:hint="eastAsia" w:asciiTheme="minorEastAsia" w:hAnsiTheme="minorEastAsia" w:eastAsiaTheme="minorEastAsia" w:cstheme="minorEastAsia"/>
          <w:sz w:val="22"/>
        </w:rPr>
        <w:t>及</w:t>
      </w:r>
      <w:r>
        <w:rPr>
          <w:rFonts w:hint="eastAsia" w:asciiTheme="minorEastAsia" w:hAnsiTheme="minorEastAsia" w:cstheme="minorEastAsia"/>
          <w:sz w:val="22"/>
          <w:lang w:val="en-US" w:eastAsia="zh-CN"/>
        </w:rPr>
        <w:t>2027</w:t>
      </w:r>
      <w:r>
        <w:rPr>
          <w:rFonts w:hint="eastAsia" w:asciiTheme="minorEastAsia" w:hAnsiTheme="minorEastAsia" w:eastAsiaTheme="minorEastAsia" w:cstheme="minorEastAsia"/>
          <w:sz w:val="22"/>
        </w:rPr>
        <w:t>年度一般工业固体废物处置服务项目</w:t>
      </w:r>
    </w:p>
    <w:p w14:paraId="1080FED4">
      <w:pPr>
        <w:spacing w:before="320" w:after="120" w:line="288" w:lineRule="auto"/>
        <w:ind w:left="0"/>
        <w:jc w:val="left"/>
        <w:outlineLvl w:val="1"/>
        <w:rPr>
          <w:rFonts w:hint="eastAsia" w:asciiTheme="minorEastAsia" w:hAnsiTheme="minorEastAsia" w:eastAsiaTheme="minorEastAsia" w:cstheme="minorEastAsia"/>
        </w:rPr>
      </w:pPr>
      <w:bookmarkStart w:id="0" w:name="heading_0"/>
      <w:r>
        <w:rPr>
          <w:rFonts w:hint="eastAsia" w:asciiTheme="minorEastAsia" w:hAnsiTheme="minorEastAsia" w:eastAsiaTheme="minorEastAsia" w:cstheme="minorEastAsia"/>
          <w:b/>
          <w:sz w:val="32"/>
        </w:rPr>
        <w:t>1. 项目范围</w:t>
      </w:r>
      <w:bookmarkEnd w:id="0"/>
    </w:p>
    <w:p w14:paraId="5604A49D">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中钢集团郑州金属制品研究院股份有限公司生产运营及实验室辅助过程中产生的一般工业固体废物，包含但不限于废</w:t>
      </w:r>
      <w:r>
        <w:rPr>
          <w:rFonts w:hint="eastAsia" w:asciiTheme="minorEastAsia" w:hAnsiTheme="minorEastAsia" w:eastAsiaTheme="minorEastAsia" w:cstheme="minorEastAsia"/>
          <w:sz w:val="22"/>
          <w:lang w:eastAsia="zh-CN"/>
        </w:rPr>
        <w:t>包装塑料</w:t>
      </w:r>
      <w:r>
        <w:rPr>
          <w:rFonts w:hint="eastAsia" w:asciiTheme="minorEastAsia" w:hAnsiTheme="minorEastAsia" w:eastAsiaTheme="minorEastAsia" w:cstheme="minorEastAsia"/>
          <w:sz w:val="22"/>
        </w:rPr>
        <w:t>、废</w:t>
      </w:r>
      <w:r>
        <w:rPr>
          <w:rFonts w:hint="eastAsia" w:asciiTheme="minorEastAsia" w:hAnsiTheme="minorEastAsia" w:eastAsiaTheme="minorEastAsia" w:cstheme="minorEastAsia"/>
          <w:sz w:val="22"/>
          <w:lang w:eastAsia="zh-CN"/>
        </w:rPr>
        <w:t>拉丝粉</w:t>
      </w:r>
      <w:r>
        <w:rPr>
          <w:rFonts w:hint="eastAsia" w:asciiTheme="minorEastAsia" w:hAnsiTheme="minorEastAsia" w:eastAsiaTheme="minorEastAsia" w:cstheme="minorEastAsia"/>
          <w:sz w:val="22"/>
        </w:rPr>
        <w:t>、</w:t>
      </w:r>
      <w:r>
        <w:rPr>
          <w:rFonts w:hint="eastAsia" w:asciiTheme="minorEastAsia" w:hAnsiTheme="minorEastAsia" w:eastAsiaTheme="minorEastAsia" w:cstheme="minorEastAsia"/>
          <w:sz w:val="22"/>
          <w:lang w:eastAsia="zh-CN"/>
        </w:rPr>
        <w:t>土工布</w:t>
      </w:r>
      <w:r>
        <w:rPr>
          <w:rFonts w:hint="eastAsia" w:asciiTheme="minorEastAsia" w:hAnsiTheme="minorEastAsia" w:eastAsiaTheme="minorEastAsia" w:cstheme="minorEastAsia"/>
          <w:sz w:val="22"/>
        </w:rPr>
        <w:t>、</w:t>
      </w:r>
      <w:r>
        <w:rPr>
          <w:rFonts w:hint="eastAsia" w:asciiTheme="minorEastAsia" w:hAnsiTheme="minorEastAsia" w:eastAsiaTheme="minorEastAsia" w:cstheme="minorEastAsia"/>
          <w:sz w:val="22"/>
          <w:lang w:eastAsia="zh-CN"/>
        </w:rPr>
        <w:t>岩棉</w:t>
      </w:r>
      <w:r>
        <w:rPr>
          <w:rFonts w:hint="eastAsia" w:asciiTheme="minorEastAsia" w:hAnsiTheme="minorEastAsia" w:eastAsiaTheme="minorEastAsia" w:cstheme="minorEastAsia"/>
          <w:sz w:val="22"/>
        </w:rPr>
        <w:t>、</w:t>
      </w:r>
      <w:r>
        <w:rPr>
          <w:rFonts w:hint="eastAsia" w:asciiTheme="minorEastAsia" w:hAnsiTheme="minorEastAsia" w:eastAsiaTheme="minorEastAsia" w:cstheme="minorEastAsia"/>
          <w:sz w:val="22"/>
          <w:lang w:eastAsia="zh-CN"/>
        </w:rPr>
        <w:t>塑料格栅、混凝土试块、生活垃圾</w:t>
      </w:r>
      <w:r>
        <w:rPr>
          <w:rFonts w:hint="eastAsia" w:asciiTheme="minorEastAsia" w:hAnsiTheme="minorEastAsia" w:eastAsiaTheme="minorEastAsia" w:cstheme="minorEastAsia"/>
          <w:sz w:val="22"/>
        </w:rPr>
        <w:t>等，为上述一般工业固体废物提供收集、运输、合规处置</w:t>
      </w:r>
      <w:r>
        <w:rPr>
          <w:rFonts w:hint="default" w:asciiTheme="minorEastAsia" w:hAnsiTheme="minorEastAsia" w:cstheme="minorEastAsia"/>
          <w:sz w:val="22"/>
          <w:woUserID w:val="1"/>
        </w:rPr>
        <w:t>/</w:t>
      </w:r>
      <w:r>
        <w:rPr>
          <w:rFonts w:hint="eastAsia" w:asciiTheme="minorEastAsia" w:hAnsiTheme="minorEastAsia" w:eastAsiaTheme="minorEastAsia" w:cstheme="minorEastAsia"/>
          <w:sz w:val="22"/>
        </w:rPr>
        <w:t>资源化利用全流程服务。服务商须确保处置全流程符合国家及地方一般工业固体废物环境管理相关规定。</w:t>
      </w:r>
    </w:p>
    <w:p w14:paraId="09221E2E">
      <w:pPr>
        <w:spacing w:before="320" w:after="120" w:line="288" w:lineRule="auto"/>
        <w:ind w:left="0"/>
        <w:jc w:val="left"/>
        <w:outlineLvl w:val="1"/>
        <w:rPr>
          <w:rFonts w:hint="eastAsia" w:asciiTheme="minorEastAsia" w:hAnsiTheme="minorEastAsia" w:eastAsiaTheme="minorEastAsia" w:cstheme="minorEastAsia"/>
        </w:rPr>
      </w:pPr>
      <w:bookmarkStart w:id="1" w:name="heading_1"/>
      <w:r>
        <w:rPr>
          <w:rFonts w:hint="eastAsia" w:asciiTheme="minorEastAsia" w:hAnsiTheme="minorEastAsia" w:eastAsiaTheme="minorEastAsia" w:cstheme="minorEastAsia"/>
          <w:b/>
          <w:sz w:val="32"/>
        </w:rPr>
        <w:t>2. 供应商需满足以下基本要求</w:t>
      </w:r>
      <w:bookmarkEnd w:id="1"/>
    </w:p>
    <w:p w14:paraId="10A09184">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2.1 供应商须为在中华人民共和国境内注册的独立法人企业，持有有效的营业执照，经营范围包含固体废物处置/资源化利用相关业务；</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2.2 供应商须能够开具合法可抵扣的增值税专用发票；</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2.3 资质要求：</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2.3.1 若投标方为终端处置单位：须具备有效的环评文件及环评批复、排污许可证，以及相关备案资料，处置能力、工艺符合国家及地方一般工业固体废物环境管理标准，且资质在有效期内；</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2.3.2 若投标方为中间营运商（中间商）：须自身具备合法运营资质，同时所合作的终端处置单位须满足</w:t>
      </w:r>
      <w:r>
        <w:rPr>
          <w:rFonts w:hint="eastAsia" w:asciiTheme="minorEastAsia" w:hAnsiTheme="minorEastAsia" w:eastAsiaTheme="minorEastAsia" w:cstheme="minorEastAsia"/>
          <w:sz w:val="22"/>
          <w:lang w:eastAsia="zh-CN"/>
        </w:rPr>
        <w:t>上面</w:t>
      </w:r>
      <w:r>
        <w:rPr>
          <w:rFonts w:hint="eastAsia" w:asciiTheme="minorEastAsia" w:hAnsiTheme="minorEastAsia" w:eastAsiaTheme="minorEastAsia" w:cstheme="minorEastAsia"/>
          <w:sz w:val="22"/>
        </w:rPr>
        <w:t>条款全部资质要求，中间商须提供与终端处置单位签订的有效长期合作合同；</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2.4 供应商须具备有效的道路货物运输资质，或提供与具备相应资质的运输单位签订的长期合作协议及运输单位资质文件；</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2.5 供应商具有良好的银行资信和商业信誉，近3年未发生重大一般工业固体废物污染环境事故，未被列入失信被执行人名单、重大税收违法失信主体名单；</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2.6 供应商近3年须具备不少于3项同类工业企业一般工业固体废物处置服务业绩，具备承接本项目的服务经验与响应能力；</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2.7 服务响应：基本上每</w:t>
      </w:r>
      <w:r>
        <w:rPr>
          <w:rFonts w:hint="eastAsia" w:asciiTheme="minorEastAsia" w:hAnsiTheme="minorEastAsia" w:cstheme="minorEastAsia"/>
          <w:sz w:val="22"/>
          <w:lang w:val="en-US" w:eastAsia="zh-CN"/>
        </w:rPr>
        <w:t>天</w:t>
      </w:r>
      <w:r>
        <w:rPr>
          <w:rFonts w:hint="eastAsia" w:asciiTheme="minorEastAsia" w:hAnsiTheme="minorEastAsia" w:eastAsiaTheme="minorEastAsia" w:cstheme="minorEastAsia"/>
          <w:sz w:val="22"/>
        </w:rPr>
        <w:t>拉运一次，实际拉运日期以采购人通知为准，及时响应拉运需求，不得推脱、滞后拉运；运输过程严格执行货物运输管理规定</w:t>
      </w:r>
      <w:r>
        <w:rPr>
          <w:rFonts w:hint="eastAsia" w:asciiTheme="minorEastAsia" w:hAnsiTheme="minorEastAsia" w:eastAsiaTheme="minorEastAsia" w:cstheme="minorEastAsia"/>
          <w:sz w:val="22"/>
          <w:lang w:eastAsia="zh-CN"/>
        </w:rPr>
        <w:t>及环保法规要求</w:t>
      </w:r>
      <w:r>
        <w:rPr>
          <w:rFonts w:hint="eastAsia" w:asciiTheme="minorEastAsia" w:hAnsiTheme="minorEastAsia" w:eastAsiaTheme="minorEastAsia" w:cstheme="minorEastAsia"/>
          <w:sz w:val="22"/>
        </w:rPr>
        <w:t>，使用适配车辆、配备专业人员，全程可追溯；</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2.8 合规处置：按一般工业固体废物类别采用符合国家及地方环保标准的工艺进行无害化处置或资源化利用，严禁违规倾倒、非法转移或交由无资质单位处置，处置过程全程留痕可备查；固废拉运后需提交固废接收凭证、入库台账及处置后回执；</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2.9 资料管理：按批次整理完整服务资料，确保接收凭证、处置凭证等文件真实、有效、可追溯；处置过程可提供影像资料、批次记录等供核查；涉及资源化利用的，须按要求提供再利用生产报表及产品质量检测报告；</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2.10 本项目不接受任何形式的联合体投标；</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2.11 报名时按照要求将以下文件整理成一个PDF上传：①法人授权委托书扫描件、法定代表人及委托代理人身份证扫描件；②本章节2.1-2.9项要求的所有资料均需加盖公章。</w:t>
      </w:r>
    </w:p>
    <w:p w14:paraId="52258B89">
      <w:pPr>
        <w:spacing w:before="320" w:after="120" w:line="288" w:lineRule="auto"/>
        <w:ind w:left="0"/>
        <w:jc w:val="left"/>
        <w:outlineLvl w:val="1"/>
        <w:rPr>
          <w:rFonts w:hint="eastAsia" w:asciiTheme="minorEastAsia" w:hAnsiTheme="minorEastAsia" w:eastAsiaTheme="minorEastAsia" w:cstheme="minorEastAsia"/>
        </w:rPr>
      </w:pPr>
      <w:bookmarkStart w:id="2" w:name="heading_2"/>
      <w:r>
        <w:rPr>
          <w:rFonts w:hint="eastAsia" w:asciiTheme="minorEastAsia" w:hAnsiTheme="minorEastAsia" w:eastAsiaTheme="minorEastAsia" w:cstheme="minorEastAsia"/>
          <w:b/>
          <w:sz w:val="32"/>
        </w:rPr>
        <w:t>3. 报名资料需包含</w:t>
      </w:r>
      <w:bookmarkEnd w:id="2"/>
    </w:p>
    <w:p w14:paraId="41A8C905">
      <w:pPr>
        <w:spacing w:before="300" w:after="120" w:line="288" w:lineRule="auto"/>
        <w:ind w:left="0"/>
        <w:jc w:val="left"/>
        <w:outlineLvl w:val="2"/>
        <w:rPr>
          <w:rFonts w:hint="eastAsia" w:asciiTheme="minorEastAsia" w:hAnsiTheme="minorEastAsia" w:eastAsiaTheme="minorEastAsia" w:cstheme="minorEastAsia"/>
        </w:rPr>
      </w:pPr>
      <w:bookmarkStart w:id="3" w:name="heading_3"/>
      <w:r>
        <w:rPr>
          <w:rFonts w:hint="eastAsia" w:asciiTheme="minorEastAsia" w:hAnsiTheme="minorEastAsia" w:eastAsiaTheme="minorEastAsia" w:cstheme="minorEastAsia"/>
          <w:b/>
          <w:sz w:val="30"/>
        </w:rPr>
        <w:t>3.1 投标方为中间营运商的，需提交以下资料</w:t>
      </w:r>
      <w:bookmarkEnd w:id="3"/>
    </w:p>
    <w:p w14:paraId="0880A42C">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（1）中间商的营业执照、运营资质资料、与终端处置单位签订的有效合作合同；</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（2）终端处置单位的营业执照、排污许可文件、环评文件、环评批复及相关备案资料；</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（3）终端处置单位现场贮存处置能力、工艺、设备及配套环保设备设施照片；</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（4）固废采购（接收）凭证、产品出入库台账及相关证明材料；</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（5）终端处置后回执；</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（6）固体废物再利用生产报表（按企业实际情况提供）、固体废物再利用产品质量检测报告（按企业实际情况提供）。</w:t>
      </w:r>
    </w:p>
    <w:p w14:paraId="36E4BFD9">
      <w:pPr>
        <w:spacing w:before="300" w:after="120" w:line="288" w:lineRule="auto"/>
        <w:ind w:left="0"/>
        <w:jc w:val="left"/>
        <w:outlineLvl w:val="2"/>
        <w:rPr>
          <w:rFonts w:hint="eastAsia" w:asciiTheme="minorEastAsia" w:hAnsiTheme="minorEastAsia" w:eastAsiaTheme="minorEastAsia" w:cstheme="minorEastAsia"/>
        </w:rPr>
      </w:pPr>
      <w:bookmarkStart w:id="4" w:name="heading_4"/>
      <w:r>
        <w:rPr>
          <w:rFonts w:hint="eastAsia" w:asciiTheme="minorEastAsia" w:hAnsiTheme="minorEastAsia" w:eastAsiaTheme="minorEastAsia" w:cstheme="minorEastAsia"/>
          <w:b/>
          <w:sz w:val="30"/>
        </w:rPr>
        <w:t>3.2 投标方为终端处置单位的，需提交以下资料</w:t>
      </w:r>
      <w:bookmarkEnd w:id="4"/>
    </w:p>
    <w:p w14:paraId="0A569B78">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（1）营业执照、排污许可文件、环评文件、环评批复及相关备案资料；</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（2）现场贮存处置能力、工艺、设备及配套环保设备设施照片；</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（3）固废采购（接收）凭证、产品出入库台账及相关证明材料；</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（4）终端处置后回执；</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（5）固体废物再利用生产报表（按企业实际情况提供）、固体废物再利用产品质量检测报告（按企业实际情况提供）。</w:t>
      </w:r>
    </w:p>
    <w:p w14:paraId="0DCD5769">
      <w:pPr>
        <w:spacing w:before="300" w:after="120" w:line="288" w:lineRule="auto"/>
        <w:ind w:left="0"/>
        <w:jc w:val="left"/>
        <w:outlineLvl w:val="2"/>
        <w:rPr>
          <w:rFonts w:hint="eastAsia" w:asciiTheme="minorEastAsia" w:hAnsiTheme="minorEastAsia" w:eastAsiaTheme="minorEastAsia" w:cstheme="minorEastAsia"/>
        </w:rPr>
      </w:pPr>
      <w:bookmarkStart w:id="5" w:name="heading_5"/>
      <w:r>
        <w:rPr>
          <w:rFonts w:hint="eastAsia" w:asciiTheme="minorEastAsia" w:hAnsiTheme="minorEastAsia" w:eastAsiaTheme="minorEastAsia" w:cstheme="minorEastAsia"/>
          <w:b/>
          <w:sz w:val="30"/>
        </w:rPr>
        <w:t>3.3 所有投标方均需补充提交以下资料</w:t>
      </w:r>
      <w:bookmarkEnd w:id="5"/>
    </w:p>
    <w:p w14:paraId="2060271C">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（1）近3年无不良信誉、无重大污染事故、无失信记录的相关查询结果；</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（2）近3年不少于3项同类工业企业一般工业固体废物处置服务业绩证明材料（合同复印件、接收凭证、处置凭证等）；</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（3）法定代表人身份证明（法定代表人参加的情况）或法人授权委托书（委托代理人参加的情况）及对应人员身份证扫描件。</w:t>
      </w:r>
    </w:p>
    <w:p w14:paraId="3F2459BC">
      <w:pPr>
        <w:spacing w:before="320" w:after="120" w:line="288" w:lineRule="auto"/>
        <w:ind w:left="0"/>
        <w:jc w:val="left"/>
        <w:outlineLvl w:val="1"/>
        <w:rPr>
          <w:rFonts w:hint="eastAsia" w:asciiTheme="minorEastAsia" w:hAnsiTheme="minorEastAsia" w:eastAsiaTheme="minorEastAsia" w:cstheme="minorEastAsia"/>
        </w:rPr>
      </w:pPr>
      <w:bookmarkStart w:id="6" w:name="heading_7"/>
      <w:r>
        <w:rPr>
          <w:rFonts w:hint="eastAsia" w:asciiTheme="minorEastAsia" w:hAnsiTheme="minorEastAsia" w:cstheme="minorEastAsia"/>
          <w:b/>
          <w:sz w:val="32"/>
          <w:lang w:val="en-US" w:eastAsia="zh-CN"/>
        </w:rPr>
        <w:t>4</w:t>
      </w:r>
      <w:r>
        <w:rPr>
          <w:rFonts w:hint="eastAsia" w:asciiTheme="minorEastAsia" w:hAnsiTheme="minorEastAsia" w:eastAsiaTheme="minorEastAsia" w:cstheme="minorEastAsia"/>
          <w:b/>
          <w:sz w:val="32"/>
        </w:rPr>
        <w:t>. 踏勘现场</w:t>
      </w:r>
      <w:bookmarkEnd w:id="6"/>
    </w:p>
    <w:p w14:paraId="07454BFA">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报名的潜在供应商如需现场踏勘，由潜在供应商自行安排，费用自理。除询价人的原因外，潜在供应商自行负责在踏勘现场中所发生的人员伤亡和财产损失。</w:t>
      </w:r>
    </w:p>
    <w:p w14:paraId="1A3641FA">
      <w:pPr>
        <w:spacing w:before="320" w:after="120" w:line="288" w:lineRule="auto"/>
        <w:ind w:left="0"/>
        <w:jc w:val="left"/>
        <w:outlineLvl w:val="1"/>
        <w:rPr>
          <w:rFonts w:hint="eastAsia" w:asciiTheme="minorEastAsia" w:hAnsiTheme="minorEastAsia" w:eastAsiaTheme="minorEastAsia" w:cstheme="minorEastAsia"/>
        </w:rPr>
      </w:pPr>
      <w:bookmarkStart w:id="7" w:name="heading_8"/>
      <w:r>
        <w:rPr>
          <w:rFonts w:hint="eastAsia" w:asciiTheme="minorEastAsia" w:hAnsiTheme="minorEastAsia" w:cstheme="minorEastAsia"/>
          <w:b/>
          <w:sz w:val="32"/>
          <w:lang w:val="en-US" w:eastAsia="zh-CN"/>
        </w:rPr>
        <w:t>5</w:t>
      </w:r>
      <w:r>
        <w:rPr>
          <w:rFonts w:hint="eastAsia" w:asciiTheme="minorEastAsia" w:hAnsiTheme="minorEastAsia" w:eastAsiaTheme="minorEastAsia" w:cstheme="minorEastAsia"/>
          <w:b/>
          <w:sz w:val="32"/>
        </w:rPr>
        <w:t>. 询价人</w:t>
      </w:r>
      <w:bookmarkEnd w:id="7"/>
    </w:p>
    <w:p w14:paraId="0A7813B6">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中钢集团郑州金属制品研究院股份有限公司</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详细地址：河南省郑州市高新技术产业开发区化工路 172 号</w:t>
      </w:r>
    </w:p>
    <w:p w14:paraId="0C25EB08">
      <w:pPr>
        <w:pBdr>
          <w:bottom w:val="single" w:color="DEE0E3" w:sz="2" w:space="0"/>
          <w:between w:val="single" w:color="DEE0E3" w:sz="2" w:space="0"/>
        </w:pBdr>
        <w:spacing w:before="120" w:after="120" w:line="288" w:lineRule="auto"/>
        <w:ind w:left="0"/>
        <w:rPr>
          <w:rFonts w:hint="eastAsia" w:asciiTheme="minorEastAsia" w:hAnsiTheme="minorEastAsia" w:eastAsiaTheme="minorEastAsia" w:cstheme="minorEastAsia"/>
        </w:rPr>
      </w:pPr>
    </w:p>
    <w:p w14:paraId="1042E4F5">
      <w:pPr>
        <w:spacing w:before="300" w:after="120" w:line="288" w:lineRule="auto"/>
        <w:ind w:left="0"/>
        <w:jc w:val="left"/>
        <w:outlineLvl w:val="2"/>
        <w:rPr>
          <w:rFonts w:hint="eastAsia" w:asciiTheme="minorEastAsia" w:hAnsiTheme="minorEastAsia" w:eastAsiaTheme="minorEastAsia" w:cstheme="minorEastAsia"/>
        </w:rPr>
      </w:pPr>
      <w:bookmarkStart w:id="8" w:name="heading_9"/>
      <w:r>
        <w:rPr>
          <w:rFonts w:hint="eastAsia" w:asciiTheme="minorEastAsia" w:hAnsiTheme="minorEastAsia" w:eastAsiaTheme="minorEastAsia" w:cstheme="minorEastAsia"/>
          <w:b/>
          <w:sz w:val="30"/>
        </w:rPr>
        <w:t>附件：报价单格式</w:t>
      </w:r>
      <w:bookmarkEnd w:id="8"/>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279"/>
        <w:gridCol w:w="5241"/>
      </w:tblGrid>
      <w:tr w14:paraId="4BB1FE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279" w:type="dxa"/>
            <w:tcMar>
              <w:top w:w="60" w:type="dxa"/>
              <w:left w:w="120" w:type="dxa"/>
              <w:bottom w:w="30" w:type="dxa"/>
              <w:right w:w="120" w:type="dxa"/>
            </w:tcMar>
          </w:tcPr>
          <w:p w14:paraId="36C76905">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项目名称</w:t>
            </w:r>
          </w:p>
        </w:tc>
        <w:tc>
          <w:tcPr>
            <w:tcW w:w="5241" w:type="dxa"/>
            <w:tcMar>
              <w:top w:w="60" w:type="dxa"/>
              <w:left w:w="120" w:type="dxa"/>
              <w:bottom w:w="30" w:type="dxa"/>
              <w:right w:w="120" w:type="dxa"/>
            </w:tcMar>
          </w:tcPr>
          <w:p w14:paraId="3858B1BA">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中钢集团郑州金属制品研究院股份有限公司</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2026及 2027年度一般工业固体废物处置服务项目</w:t>
            </w:r>
          </w:p>
        </w:tc>
      </w:tr>
      <w:tr w14:paraId="0D034B5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279" w:type="dxa"/>
            <w:tcMar>
              <w:top w:w="60" w:type="dxa"/>
              <w:left w:w="120" w:type="dxa"/>
              <w:bottom w:w="30" w:type="dxa"/>
              <w:right w:w="120" w:type="dxa"/>
            </w:tcMar>
          </w:tcPr>
          <w:p w14:paraId="778C7E75">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服务内容</w:t>
            </w:r>
          </w:p>
        </w:tc>
        <w:tc>
          <w:tcPr>
            <w:tcW w:w="5241" w:type="dxa"/>
            <w:tcMar>
              <w:top w:w="60" w:type="dxa"/>
              <w:left w:w="120" w:type="dxa"/>
              <w:bottom w:w="30" w:type="dxa"/>
              <w:right w:w="120" w:type="dxa"/>
            </w:tcMar>
          </w:tcPr>
          <w:p w14:paraId="6DC3EB3F">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2026及 2027年度一般工业固体废物处置服务项目</w:t>
            </w:r>
          </w:p>
        </w:tc>
      </w:tr>
      <w:tr w14:paraId="7EE4CCE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279" w:type="dxa"/>
            <w:tcMar>
              <w:top w:w="60" w:type="dxa"/>
              <w:left w:w="120" w:type="dxa"/>
              <w:bottom w:w="30" w:type="dxa"/>
              <w:right w:w="120" w:type="dxa"/>
            </w:tcMar>
          </w:tcPr>
          <w:p w14:paraId="30967D85">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供应商名称</w:t>
            </w:r>
          </w:p>
        </w:tc>
        <w:tc>
          <w:tcPr>
            <w:tcW w:w="5241" w:type="dxa"/>
            <w:tcMar>
              <w:top w:w="60" w:type="dxa"/>
              <w:left w:w="120" w:type="dxa"/>
              <w:bottom w:w="30" w:type="dxa"/>
              <w:right w:w="120" w:type="dxa"/>
            </w:tcMar>
          </w:tcPr>
          <w:p w14:paraId="7189F2DA">
            <w:pPr>
              <w:spacing w:before="120" w:after="120" w:line="288" w:lineRule="auto"/>
              <w:ind w:left="0"/>
              <w:jc w:val="left"/>
              <w:rPr>
                <w:rFonts w:hint="eastAsia" w:asciiTheme="minorEastAsia" w:hAnsiTheme="minorEastAsia" w:eastAsiaTheme="minorEastAsia" w:cstheme="minorEastAsia"/>
              </w:rPr>
            </w:pPr>
          </w:p>
        </w:tc>
      </w:tr>
      <w:tr w14:paraId="1F71C77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279" w:type="dxa"/>
            <w:tcMar>
              <w:top w:w="60" w:type="dxa"/>
              <w:left w:w="120" w:type="dxa"/>
              <w:bottom w:w="30" w:type="dxa"/>
              <w:right w:w="120" w:type="dxa"/>
            </w:tcMar>
          </w:tcPr>
          <w:p w14:paraId="04FF858F">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总报价（不含税）</w:t>
            </w:r>
          </w:p>
        </w:tc>
        <w:tc>
          <w:tcPr>
            <w:tcW w:w="5241" w:type="dxa"/>
            <w:tcMar>
              <w:top w:w="60" w:type="dxa"/>
              <w:left w:w="120" w:type="dxa"/>
              <w:bottom w:w="30" w:type="dxa"/>
              <w:right w:w="120" w:type="dxa"/>
            </w:tcMar>
          </w:tcPr>
          <w:p w14:paraId="622C1478">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 xml:space="preserve">大写：              小写：        </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计算方式：含税总报价 /（1+税率）</w:t>
            </w:r>
          </w:p>
        </w:tc>
      </w:tr>
      <w:tr w14:paraId="792733D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279" w:type="dxa"/>
            <w:tcMar>
              <w:top w:w="60" w:type="dxa"/>
              <w:left w:w="120" w:type="dxa"/>
              <w:bottom w:w="30" w:type="dxa"/>
              <w:right w:w="120" w:type="dxa"/>
            </w:tcMar>
          </w:tcPr>
          <w:p w14:paraId="4820DC5D">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税率</w:t>
            </w:r>
          </w:p>
        </w:tc>
        <w:tc>
          <w:tcPr>
            <w:tcW w:w="5241" w:type="dxa"/>
            <w:tcMar>
              <w:top w:w="60" w:type="dxa"/>
              <w:left w:w="120" w:type="dxa"/>
              <w:bottom w:w="30" w:type="dxa"/>
              <w:right w:w="120" w:type="dxa"/>
            </w:tcMar>
          </w:tcPr>
          <w:p w14:paraId="4FDB0F32">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lang w:val="en-US" w:eastAsia="zh-CN"/>
              </w:rPr>
              <w:t xml:space="preserve">       </w:t>
            </w:r>
            <w:r>
              <w:rPr>
                <w:rFonts w:hint="eastAsia" w:asciiTheme="minorEastAsia" w:hAnsiTheme="minorEastAsia" w:eastAsiaTheme="minorEastAsia" w:cstheme="minorEastAsia"/>
                <w:sz w:val="22"/>
              </w:rPr>
              <w:t>%</w:t>
            </w:r>
          </w:p>
        </w:tc>
      </w:tr>
      <w:tr w14:paraId="322DAF4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279" w:type="dxa"/>
            <w:tcMar>
              <w:top w:w="60" w:type="dxa"/>
              <w:left w:w="120" w:type="dxa"/>
              <w:bottom w:w="30" w:type="dxa"/>
              <w:right w:w="120" w:type="dxa"/>
            </w:tcMar>
          </w:tcPr>
          <w:p w14:paraId="1329462F">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总报价（含税）</w:t>
            </w:r>
          </w:p>
        </w:tc>
        <w:tc>
          <w:tcPr>
            <w:tcW w:w="5241" w:type="dxa"/>
            <w:tcMar>
              <w:top w:w="60" w:type="dxa"/>
              <w:left w:w="120" w:type="dxa"/>
              <w:bottom w:w="30" w:type="dxa"/>
              <w:right w:w="120" w:type="dxa"/>
            </w:tcMar>
          </w:tcPr>
          <w:p w14:paraId="7D316B7C">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大写：              小写：</w:t>
            </w:r>
          </w:p>
        </w:tc>
      </w:tr>
    </w:tbl>
    <w:p w14:paraId="76F65B43">
      <w:pPr>
        <w:spacing w:before="120" w:after="120" w:line="288" w:lineRule="auto"/>
        <w:ind w:left="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公司名称：                                （盖单位公章）</w:t>
      </w:r>
      <w:r>
        <w:rPr>
          <w:rFonts w:hint="eastAsia" w:asciiTheme="minorEastAsia" w:hAnsiTheme="minorEastAsia" w:eastAsiaTheme="minorEastAsia" w:cstheme="minorEastAsia"/>
          <w:sz w:val="22"/>
        </w:rPr>
        <w:br w:type="textWrapping"/>
      </w:r>
      <w:r>
        <w:rPr>
          <w:rFonts w:hint="eastAsia" w:asciiTheme="minorEastAsia" w:hAnsiTheme="minorEastAsia" w:eastAsiaTheme="minorEastAsia" w:cstheme="minorEastAsia"/>
          <w:sz w:val="22"/>
        </w:rPr>
        <w:t>年  月  日</w:t>
      </w:r>
    </w:p>
    <w:p w14:paraId="30FC3CB3">
      <w:pPr>
        <w:spacing w:before="120" w:after="120" w:line="288" w:lineRule="auto"/>
        <w:ind w:left="0"/>
        <w:jc w:val="left"/>
        <w:rPr>
          <w:rFonts w:hint="eastAsia" w:asciiTheme="minorEastAsia" w:hAnsiTheme="minorEastAsia" w:eastAsiaTheme="minorEastAsia" w:cstheme="minorEastAsia"/>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1594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B4AB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0B7B7733"/>
    <w:rsid w:val="67DE96B4"/>
    <w:rsid w:val="796F6D8A"/>
    <w:rsid w:val="7CF412AF"/>
    <w:rsid w:val="F7ECBCF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1896</Words>
  <Characters>1975</Characters>
  <TotalTime>4</TotalTime>
  <ScaleCrop>false</ScaleCrop>
  <LinksUpToDate>false</LinksUpToDate>
  <CharactersWithSpaces>2081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2026-09-09T01:24:00Z</dcterms:created>
  <dc:creator>Apache POI</dc:creator>
  <cp:lastModifiedBy>凡一璞</cp:lastModifiedBy>
  <dcterms:modified xsi:type="dcterms:W3CDTF">2026-09-21T01:55:24Z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{"Label":"1","ContentProducer":"001191110102MACQD9K64010000","ProduceID":"7682969251564670154","ReservedCode1":"","ContentPropagator":"","PropagateID":"","ReservedCode2":""}</vt:lpwstr>
  </property>
  <property fmtid="{D5CDD505-2E9C-101B-9397-08002B2CF9AE}" pid="3" name="KSOProductBuildVer">
    <vt:lpwstr>2052-12.1.0.28505</vt:lpwstr>
  </property>
  <property fmtid="{D5CDD505-2E9C-101B-9397-08002B2CF9AE}" pid="4" name="ICV">
    <vt:lpwstr>1854FB00E888E421D4659F6A0D5569AB_42</vt:lpwstr>
  </property>
  <property fmtid="{D5CDD505-2E9C-101B-9397-08002B2CF9AE}" pid="5" name="KSOTemplateDocerSaveRecord">
    <vt:lpwstr>eyJoZGlkIjoiODNmZTExOTQzOTVlMzlkZjFiYjJiOTU1YjQ5OGEwNjYiLCJ1c2VySWQiOiIzNzUzODQ0MjYifQ==</vt:lpwstr>
  </property>
</Properties>
</file>