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C31EF">
      <w:pPr>
        <w:pStyle w:val="2"/>
        <w:spacing w:before="184" w:line="228" w:lineRule="auto"/>
        <w:ind w:left="48"/>
      </w:pPr>
      <w:r>
        <w:rPr>
          <w:spacing w:val="-12"/>
        </w:rPr>
        <w:t>附件</w:t>
      </w:r>
      <w:r>
        <w:rPr>
          <w:spacing w:val="-39"/>
        </w:rPr>
        <w:t xml:space="preserve"> </w:t>
      </w:r>
      <w:r>
        <w:rPr>
          <w:spacing w:val="-12"/>
        </w:rPr>
        <w:t>1：</w:t>
      </w:r>
    </w:p>
    <w:p w14:paraId="522292A4">
      <w:pPr>
        <w:spacing w:before="74" w:line="223" w:lineRule="auto"/>
        <w:ind w:left="2863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2"/>
          <w:sz w:val="43"/>
          <w:szCs w:val="43"/>
        </w:rPr>
        <w:t>分包销售模式</w:t>
      </w:r>
    </w:p>
    <w:p w14:paraId="5EF6C17B">
      <w:pPr>
        <w:spacing w:line="333" w:lineRule="auto"/>
        <w:rPr>
          <w:rFonts w:ascii="Arial"/>
          <w:sz w:val="21"/>
        </w:rPr>
      </w:pPr>
    </w:p>
    <w:p w14:paraId="0E32D6E5">
      <w:pPr>
        <w:pStyle w:val="2"/>
        <w:spacing w:before="100" w:line="226" w:lineRule="auto"/>
        <w:ind w:left="681"/>
      </w:pPr>
      <w:r>
        <w:rPr>
          <w:spacing w:val="6"/>
        </w:rPr>
        <w:t>一、标的物概况</w:t>
      </w:r>
    </w:p>
    <w:p w14:paraId="7343ABA4">
      <w:pPr>
        <w:pStyle w:val="2"/>
        <w:spacing w:before="246" w:line="371" w:lineRule="auto"/>
        <w:ind w:left="38" w:right="90" w:firstLine="638"/>
        <w:jc w:val="both"/>
      </w:pPr>
      <w:r>
        <w:rPr>
          <w:spacing w:val="11"/>
        </w:rPr>
        <w:t>本次招标处置钢渣总量约</w:t>
      </w:r>
      <w:r>
        <w:rPr>
          <w:rFonts w:hint="eastAsia"/>
          <w:spacing w:val="-19"/>
          <w:lang w:val="en-US" w:eastAsia="zh-CN"/>
        </w:rPr>
        <w:t>3</w:t>
      </w:r>
      <w:r>
        <w:rPr>
          <w:spacing w:val="11"/>
        </w:rPr>
        <w:t>万吨，按实际存放情况划</w:t>
      </w:r>
      <w:r>
        <w:rPr>
          <w:spacing w:val="7"/>
        </w:rPr>
        <w:t>分为多个拼盘（标的</w:t>
      </w:r>
      <w:r>
        <w:rPr>
          <w:spacing w:val="24"/>
        </w:rPr>
        <w:t>），</w:t>
      </w:r>
      <w:r>
        <w:rPr>
          <w:spacing w:val="7"/>
        </w:rPr>
        <w:t>单个拼盘规模为数万吨。各拼盘独</w:t>
      </w:r>
      <w:r>
        <w:rPr>
          <w:spacing w:val="6"/>
        </w:rPr>
        <w:t>立编号，详见《交易预告》。</w:t>
      </w:r>
    </w:p>
    <w:p w14:paraId="456CD662">
      <w:pPr>
        <w:pStyle w:val="2"/>
        <w:spacing w:line="228" w:lineRule="auto"/>
        <w:ind w:left="686"/>
      </w:pPr>
      <w:r>
        <w:rPr>
          <w:spacing w:val="4"/>
        </w:rPr>
        <w:t>二、竞价模式</w:t>
      </w:r>
    </w:p>
    <w:p w14:paraId="4205276D">
      <w:pPr>
        <w:pStyle w:val="2"/>
        <w:spacing w:before="242" w:line="371" w:lineRule="auto"/>
        <w:ind w:left="36" w:right="90" w:firstLine="643"/>
      </w:pPr>
      <w:r>
        <w:rPr>
          <w:spacing w:val="8"/>
        </w:rPr>
        <w:t>分标竞价：竞买人可自主选择参加一个或多个拼盘的竞</w:t>
      </w:r>
      <w:r>
        <w:rPr>
          <w:spacing w:val="7"/>
        </w:rPr>
        <w:t>价，各拼盘相互独立，分别进行。</w:t>
      </w:r>
    </w:p>
    <w:p w14:paraId="59F2FDDF">
      <w:pPr>
        <w:pStyle w:val="2"/>
        <w:spacing w:before="3" w:line="371" w:lineRule="auto"/>
        <w:ind w:left="40" w:right="90" w:firstLine="642"/>
      </w:pPr>
      <w:r>
        <w:rPr>
          <w:spacing w:val="8"/>
        </w:rPr>
        <w:t>公开</w:t>
      </w:r>
      <w:r>
        <w:rPr>
          <w:rFonts w:hint="eastAsia"/>
          <w:spacing w:val="8"/>
          <w:lang w:val="en-US" w:eastAsia="zh-CN"/>
        </w:rPr>
        <w:t>减价</w:t>
      </w:r>
      <w:r>
        <w:rPr>
          <w:spacing w:val="8"/>
        </w:rPr>
        <w:t>：单个拼盘采用常规公开</w:t>
      </w:r>
      <w:r>
        <w:rPr>
          <w:rFonts w:hint="eastAsia"/>
          <w:spacing w:val="8"/>
          <w:lang w:val="en-US" w:eastAsia="zh-CN"/>
        </w:rPr>
        <w:t>减价</w:t>
      </w:r>
      <w:r>
        <w:rPr>
          <w:spacing w:val="8"/>
        </w:rPr>
        <w:t>竞价方式</w:t>
      </w:r>
      <w:bookmarkStart w:id="0" w:name="_GoBack"/>
      <w:r>
        <w:rPr>
          <w:spacing w:val="8"/>
        </w:rPr>
        <w:t>，价</w:t>
      </w:r>
      <w:r>
        <w:rPr>
          <w:rFonts w:hint="eastAsia"/>
          <w:spacing w:val="8"/>
          <w:lang w:val="en-US" w:eastAsia="zh-CN"/>
        </w:rPr>
        <w:t>低</w:t>
      </w:r>
      <w:r>
        <w:rPr>
          <w:spacing w:val="-3"/>
        </w:rPr>
        <w:t>者得</w:t>
      </w:r>
      <w:bookmarkEnd w:id="0"/>
      <w:r>
        <w:rPr>
          <w:spacing w:val="-3"/>
        </w:rPr>
        <w:t>。</w:t>
      </w:r>
    </w:p>
    <w:p w14:paraId="1362F007">
      <w:pPr>
        <w:pStyle w:val="2"/>
        <w:spacing w:before="2" w:line="371" w:lineRule="auto"/>
        <w:ind w:left="38" w:firstLine="636"/>
      </w:pPr>
      <w:r>
        <w:rPr>
          <w:spacing w:val="-1"/>
        </w:rPr>
        <w:t>独立结算：各拼盘的保证金、出价、服务费均相互独立，</w:t>
      </w:r>
      <w:r>
        <w:rPr>
          <w:spacing w:val="7"/>
        </w:rPr>
        <w:t>分别缴纳、分别核算、分别结算。</w:t>
      </w:r>
    </w:p>
    <w:p w14:paraId="600D6682">
      <w:pPr>
        <w:pStyle w:val="2"/>
        <w:spacing w:before="1" w:line="228" w:lineRule="auto"/>
        <w:ind w:left="684"/>
      </w:pPr>
      <w:r>
        <w:rPr>
          <w:spacing w:val="4"/>
        </w:rPr>
        <w:t>三、参与方式</w:t>
      </w:r>
    </w:p>
    <w:p w14:paraId="6197153E">
      <w:pPr>
        <w:pStyle w:val="2"/>
        <w:spacing w:before="241" w:line="371" w:lineRule="auto"/>
        <w:ind w:left="34" w:right="88" w:firstLine="643"/>
      </w:pPr>
      <w:r>
        <w:rPr>
          <w:spacing w:val="8"/>
        </w:rPr>
        <w:t>保证金缴纳：竞买人须按所选择的拼盘分别缴纳相应保证金，未缴纳保证金者不得参与该拼盘竞价。</w:t>
      </w:r>
    </w:p>
    <w:p w14:paraId="16310759">
      <w:pPr>
        <w:pStyle w:val="2"/>
        <w:spacing w:before="1" w:line="228" w:lineRule="auto"/>
        <w:ind w:left="684"/>
      </w:pPr>
      <w:r>
        <w:rPr>
          <w:spacing w:val="7"/>
        </w:rPr>
        <w:t>竞价入场：各拼盘入场资格互不影响。</w:t>
      </w:r>
    </w:p>
    <w:p w14:paraId="038D16CC">
      <w:pPr>
        <w:pStyle w:val="2"/>
        <w:spacing w:before="243" w:line="371" w:lineRule="auto"/>
        <w:ind w:left="42" w:right="88" w:firstLine="639"/>
      </w:pPr>
      <w:r>
        <w:rPr>
          <w:spacing w:val="8"/>
        </w:rPr>
        <w:t>履约要求：竞得后，各拼盘的中标人须按该拼盘约定独</w:t>
      </w:r>
      <w:r>
        <w:rPr>
          <w:spacing w:val="5"/>
        </w:rPr>
        <w:t>立履行合同义务。</w:t>
      </w:r>
    </w:p>
    <w:p w14:paraId="75729AA6">
      <w:pPr>
        <w:pStyle w:val="2"/>
        <w:spacing w:line="227" w:lineRule="auto"/>
        <w:ind w:left="713"/>
      </w:pPr>
      <w:r>
        <w:t>四、其他事项</w:t>
      </w:r>
    </w:p>
    <w:p w14:paraId="670894EC">
      <w:pPr>
        <w:pStyle w:val="2"/>
        <w:spacing w:before="243" w:line="371" w:lineRule="auto"/>
        <w:ind w:left="34" w:right="90" w:firstLine="643"/>
      </w:pPr>
      <w:r>
        <w:rPr>
          <w:spacing w:val="8"/>
        </w:rPr>
        <w:t>各拼盘的具体保证金金额、起拍价、竞价时间等详见各</w:t>
      </w:r>
      <w:r>
        <w:rPr>
          <w:spacing w:val="5"/>
        </w:rPr>
        <w:t>标的公告。竞买人应充分了解各拼盘实际情况，</w:t>
      </w:r>
      <w:r>
        <w:rPr>
          <w:spacing w:val="-63"/>
        </w:rPr>
        <w:t xml:space="preserve"> </w:t>
      </w:r>
      <w:r>
        <w:rPr>
          <w:spacing w:val="5"/>
        </w:rPr>
        <w:t>自行判断并</w:t>
      </w:r>
    </w:p>
    <w:p w14:paraId="2B0604B6">
      <w:pPr>
        <w:spacing w:line="371" w:lineRule="auto"/>
        <w:sectPr>
          <w:pgSz w:w="11906" w:h="16839"/>
          <w:pgMar w:top="1431" w:right="1711" w:bottom="0" w:left="1785" w:header="0" w:footer="0" w:gutter="0"/>
          <w:cols w:space="720" w:num="1"/>
        </w:sectPr>
      </w:pPr>
    </w:p>
    <w:p w14:paraId="67855DA1">
      <w:pPr>
        <w:pStyle w:val="2"/>
        <w:spacing w:before="163" w:line="227" w:lineRule="auto"/>
        <w:ind w:left="35"/>
      </w:pPr>
      <w:r>
        <w:rPr>
          <w:spacing w:val="5"/>
        </w:rPr>
        <w:t>承担相应风险。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9C01E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353</Words>
  <Characters>354</Characters>
  <TotalTime>1</TotalTime>
  <ScaleCrop>false</ScaleCrop>
  <LinksUpToDate>false</LinksUpToDate>
  <CharactersWithSpaces>358</CharactersWithSpaces>
  <Application>WPS Office_12.1.0.28792_F1E327BC-269C-435d-A152-05C5408002CA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2026-03-16T14:07:00Z</dcterms:created>
  <dc:creator>ouyeel</dc:creator>
  <cp:lastModifiedBy>lyx</cp:lastModifiedBy>
  <dcterms:modified xsi:type="dcterms:W3CDTF">2026-09-22T04:13:28Z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2026-09-22T10:42:24Z</vt:filetime>
  </property>
  <property fmtid="{D5CDD505-2E9C-101B-9397-08002B2CF9AE}" pid="4" name="KSOTemplateDocerSaveRecord">
    <vt:lpwstr>eyJoZGlkIjoiMzEwNTM5NzYwMDRjMzkwZTVkZjY2ODkwMGIxNGU0OTUiLCJ1c2VySWQiOiI0Mjg2NzA1MDMifQ==</vt:lpwstr>
  </property>
  <property fmtid="{D5CDD505-2E9C-101B-9397-08002B2CF9AE}" pid="5" name="KSOProductBuildVer">
    <vt:lpwstr>2052-12.1.0.28792</vt:lpwstr>
  </property>
  <property fmtid="{D5CDD505-2E9C-101B-9397-08002B2CF9AE}" pid="6" name="ICV">
    <vt:lpwstr>6A6F9E8FDC2D49048F5BF1B648CCC4FE_12</vt:lpwstr>
  </property>
</Properties>
</file>