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98FFF">
      <w:pPr>
        <w:widowControl/>
        <w:spacing w:line="360" w:lineRule="auto"/>
        <w:jc w:val="center"/>
        <w:rPr>
          <w:rFonts w:ascii="黑体" w:eastAsia="黑体" w:cs="宋体"/>
          <w:bCs/>
          <w:kern w:val="0"/>
          <w:sz w:val="44"/>
          <w:szCs w:val="44"/>
        </w:rPr>
      </w:pPr>
      <w:r>
        <w:rPr>
          <w:rFonts w:hint="eastAsia" w:ascii="黑体" w:eastAsia="黑体" w:cs="宋体"/>
          <w:bCs/>
          <w:kern w:val="0"/>
          <w:sz w:val="44"/>
          <w:szCs w:val="44"/>
        </w:rPr>
        <w:t>安钢周口钢铁公司水渣产品竞价销售预告</w:t>
      </w:r>
    </w:p>
    <w:p w14:paraId="4D5A9B32">
      <w:pPr>
        <w:widowControl/>
        <w:spacing w:line="560" w:lineRule="exact"/>
        <w:jc w:val="left"/>
        <w:rPr>
          <w:rFonts w:ascii="黑体" w:eastAsia="黑体" w:cs="宋体"/>
          <w:color w:val="3C3C3C"/>
          <w:kern w:val="0"/>
          <w:sz w:val="32"/>
          <w:szCs w:val="32"/>
        </w:rPr>
      </w:pPr>
    </w:p>
    <w:p w14:paraId="38D9159D">
      <w:pPr>
        <w:spacing w:line="440" w:lineRule="exact"/>
        <w:ind w:firstLine="562" w:firstLineChars="200"/>
        <w:rPr>
          <w:rFonts w:hint="eastAsia" w:ascii="宋体" w:hAnsi="宋体" w:cs="宋体"/>
          <w:b/>
          <w:bCs/>
          <w:sz w:val="28"/>
          <w:szCs w:val="28"/>
        </w:rPr>
      </w:pPr>
      <w:r>
        <w:rPr>
          <w:rFonts w:hint="eastAsia" w:ascii="宋体" w:hAnsi="宋体" w:cs="宋体"/>
          <w:b/>
          <w:bCs/>
          <w:sz w:val="28"/>
          <w:szCs w:val="28"/>
        </w:rPr>
        <w:t>一、竞价内容</w:t>
      </w:r>
    </w:p>
    <w:p w14:paraId="7041AAF0">
      <w:pPr>
        <w:spacing w:line="440" w:lineRule="exact"/>
        <w:ind w:firstLine="562" w:firstLineChars="200"/>
        <w:rPr>
          <w:rFonts w:hint="eastAsia" w:ascii="宋体" w:hAnsi="宋体" w:cs="宋体"/>
          <w:b/>
          <w:bCs/>
          <w:sz w:val="28"/>
          <w:szCs w:val="28"/>
        </w:rPr>
      </w:pPr>
      <w:r>
        <w:rPr>
          <w:rFonts w:hint="eastAsia" w:ascii="宋体" w:hAnsi="宋体" w:cs="宋体"/>
          <w:b/>
          <w:bCs/>
          <w:sz w:val="28"/>
          <w:szCs w:val="28"/>
        </w:rPr>
        <w:t>1、竞价项目名称、概况、范围：</w:t>
      </w:r>
    </w:p>
    <w:p w14:paraId="763A4A76">
      <w:pPr>
        <w:spacing w:line="440" w:lineRule="exact"/>
        <w:ind w:firstLine="560" w:firstLineChars="200"/>
        <w:rPr>
          <w:rFonts w:hint="eastAsia" w:ascii="宋体" w:hAnsi="宋体" w:cs="宋体"/>
          <w:sz w:val="28"/>
          <w:szCs w:val="28"/>
        </w:rPr>
      </w:pPr>
      <w:r>
        <w:rPr>
          <w:rFonts w:hint="eastAsia" w:ascii="宋体" w:hAnsi="宋体" w:cs="宋体"/>
          <w:sz w:val="28"/>
          <w:szCs w:val="28"/>
        </w:rPr>
        <w:t xml:space="preserve">竞价项目名称：水渣   </w:t>
      </w:r>
    </w:p>
    <w:p w14:paraId="3240EB73">
      <w:pPr>
        <w:spacing w:line="440" w:lineRule="exact"/>
        <w:ind w:firstLine="560" w:firstLineChars="200"/>
        <w:jc w:val="left"/>
        <w:rPr>
          <w:rFonts w:ascii="仿宋_GB2312" w:eastAsia="仿宋_GB2312"/>
          <w:b/>
          <w:sz w:val="30"/>
          <w:szCs w:val="30"/>
        </w:rPr>
      </w:pPr>
      <w:r>
        <w:rPr>
          <w:rFonts w:hint="eastAsia" w:ascii="宋体" w:hAnsi="宋体" w:cs="宋体"/>
          <w:sz w:val="28"/>
          <w:szCs w:val="28"/>
        </w:rPr>
        <w:t>数量：</w:t>
      </w:r>
      <w:r>
        <w:rPr>
          <w:rFonts w:hint="eastAsia" w:ascii="宋体" w:hAnsi="宋体" w:cs="宋体"/>
          <w:color w:val="FF0000"/>
          <w:sz w:val="28"/>
          <w:szCs w:val="28"/>
        </w:rPr>
        <w:t>50000t （每天产生量约为2500吨）</w:t>
      </w:r>
      <w:r>
        <w:rPr>
          <w:rFonts w:hint="eastAsia" w:ascii="宋体" w:hAnsi="宋体" w:cs="宋体"/>
          <w:sz w:val="28"/>
          <w:szCs w:val="28"/>
        </w:rPr>
        <w:t>实际销售数量以周钢公司过磅计量为准。</w:t>
      </w:r>
      <w:r>
        <w:rPr>
          <w:rFonts w:hint="eastAsia" w:ascii="仿宋_GB2312" w:hAnsi="仿宋_GB2312" w:eastAsia="仿宋_GB2312" w:cs="仿宋_GB2312"/>
          <w:b/>
          <w:bCs/>
          <w:color w:val="000000"/>
          <w:sz w:val="30"/>
        </w:rPr>
        <w:t>附表：每日</w:t>
      </w:r>
    </w:p>
    <w:tbl>
      <w:tblPr>
        <w:tblStyle w:val="4"/>
        <w:tblW w:w="9184" w:type="dxa"/>
        <w:tblInd w:w="0" w:type="dxa"/>
        <w:tblLayout w:type="fixed"/>
        <w:tblCellMar>
          <w:top w:w="0" w:type="dxa"/>
          <w:left w:w="108" w:type="dxa"/>
          <w:bottom w:w="0" w:type="dxa"/>
          <w:right w:w="108" w:type="dxa"/>
        </w:tblCellMar>
      </w:tblPr>
      <w:tblGrid>
        <w:gridCol w:w="2140"/>
        <w:gridCol w:w="1617"/>
        <w:gridCol w:w="1875"/>
        <w:gridCol w:w="1717"/>
        <w:gridCol w:w="1835"/>
      </w:tblGrid>
      <w:tr w14:paraId="230298E3">
        <w:tblPrEx>
          <w:tblCellMar>
            <w:top w:w="0" w:type="dxa"/>
            <w:left w:w="108" w:type="dxa"/>
            <w:bottom w:w="0" w:type="dxa"/>
            <w:right w:w="108" w:type="dxa"/>
          </w:tblCellMar>
        </w:tblPrEx>
        <w:trPr>
          <w:trHeight w:val="681" w:hRule="atLeast"/>
        </w:trPr>
        <w:tc>
          <w:tcPr>
            <w:tcW w:w="2140" w:type="dxa"/>
            <w:tcBorders>
              <w:top w:val="single" w:color="auto" w:sz="4" w:space="0"/>
              <w:left w:val="single" w:color="auto" w:sz="4" w:space="0"/>
              <w:bottom w:val="single" w:color="auto" w:sz="4" w:space="0"/>
              <w:right w:val="single" w:color="auto" w:sz="4" w:space="0"/>
            </w:tcBorders>
            <w:vAlign w:val="center"/>
          </w:tcPr>
          <w:p w14:paraId="37B4ED8D">
            <w:pPr>
              <w:widowControl/>
              <w:spacing w:line="440" w:lineRule="exact"/>
              <w:jc w:val="center"/>
              <w:rPr>
                <w:rFonts w:ascii="宋体" w:cs="宋体"/>
                <w:kern w:val="0"/>
                <w:sz w:val="24"/>
                <w:szCs w:val="24"/>
              </w:rPr>
            </w:pPr>
            <w:r>
              <w:rPr>
                <w:rFonts w:hint="eastAsia" w:ascii="宋体" w:cs="宋体"/>
                <w:kern w:val="0"/>
                <w:sz w:val="24"/>
                <w:szCs w:val="24"/>
              </w:rPr>
              <w:t>标次</w:t>
            </w:r>
          </w:p>
        </w:tc>
        <w:tc>
          <w:tcPr>
            <w:tcW w:w="1617" w:type="dxa"/>
            <w:tcBorders>
              <w:top w:val="single" w:color="auto" w:sz="4" w:space="0"/>
              <w:left w:val="single" w:color="auto" w:sz="4" w:space="0"/>
              <w:bottom w:val="single" w:color="auto" w:sz="4" w:space="0"/>
              <w:right w:val="single" w:color="auto" w:sz="4" w:space="0"/>
            </w:tcBorders>
            <w:vAlign w:val="center"/>
          </w:tcPr>
          <w:p w14:paraId="297FEE3C">
            <w:pPr>
              <w:widowControl/>
              <w:spacing w:line="440" w:lineRule="exact"/>
              <w:jc w:val="center"/>
              <w:rPr>
                <w:rFonts w:ascii="宋体" w:cs="宋体"/>
                <w:kern w:val="0"/>
                <w:sz w:val="24"/>
                <w:szCs w:val="24"/>
              </w:rPr>
            </w:pPr>
            <w:r>
              <w:rPr>
                <w:rFonts w:hint="eastAsia" w:ascii="宋体" w:cs="宋体"/>
                <w:kern w:val="0"/>
                <w:sz w:val="24"/>
                <w:szCs w:val="24"/>
              </w:rPr>
              <w:t>1家中标</w:t>
            </w:r>
          </w:p>
        </w:tc>
        <w:tc>
          <w:tcPr>
            <w:tcW w:w="1875" w:type="dxa"/>
            <w:tcBorders>
              <w:top w:val="single" w:color="auto" w:sz="4" w:space="0"/>
              <w:left w:val="single" w:color="auto" w:sz="4" w:space="0"/>
              <w:bottom w:val="single" w:color="auto" w:sz="4" w:space="0"/>
              <w:right w:val="single" w:color="auto" w:sz="4" w:space="0"/>
            </w:tcBorders>
            <w:vAlign w:val="center"/>
          </w:tcPr>
          <w:p w14:paraId="5C2AEC0E">
            <w:pPr>
              <w:widowControl/>
              <w:spacing w:line="440" w:lineRule="exact"/>
              <w:jc w:val="center"/>
              <w:rPr>
                <w:rFonts w:ascii="宋体" w:cs="宋体"/>
                <w:color w:val="C00000"/>
                <w:kern w:val="0"/>
                <w:sz w:val="24"/>
                <w:szCs w:val="24"/>
              </w:rPr>
            </w:pPr>
            <w:r>
              <w:rPr>
                <w:rFonts w:hint="eastAsia" w:ascii="宋体" w:cs="宋体"/>
                <w:color w:val="C00000"/>
                <w:kern w:val="0"/>
                <w:sz w:val="24"/>
                <w:szCs w:val="24"/>
              </w:rPr>
              <w:t>1中1跟</w:t>
            </w:r>
          </w:p>
        </w:tc>
        <w:tc>
          <w:tcPr>
            <w:tcW w:w="1717" w:type="dxa"/>
            <w:tcBorders>
              <w:top w:val="single" w:color="auto" w:sz="4" w:space="0"/>
              <w:left w:val="single" w:color="auto" w:sz="4" w:space="0"/>
              <w:bottom w:val="single" w:color="auto" w:sz="4" w:space="0"/>
              <w:right w:val="single" w:color="auto" w:sz="4" w:space="0"/>
            </w:tcBorders>
            <w:vAlign w:val="center"/>
          </w:tcPr>
          <w:p w14:paraId="430EAA7C">
            <w:pPr>
              <w:widowControl/>
              <w:spacing w:line="440" w:lineRule="exact"/>
              <w:jc w:val="center"/>
              <w:rPr>
                <w:rFonts w:ascii="宋体" w:cs="宋体"/>
                <w:kern w:val="0"/>
                <w:sz w:val="24"/>
                <w:szCs w:val="24"/>
              </w:rPr>
            </w:pPr>
            <w:r>
              <w:rPr>
                <w:rFonts w:hint="eastAsia" w:ascii="宋体" w:cs="宋体"/>
                <w:kern w:val="0"/>
                <w:sz w:val="24"/>
                <w:szCs w:val="24"/>
              </w:rPr>
              <w:t>1中2跟</w:t>
            </w:r>
          </w:p>
        </w:tc>
        <w:tc>
          <w:tcPr>
            <w:tcW w:w="1835" w:type="dxa"/>
            <w:tcBorders>
              <w:top w:val="single" w:color="auto" w:sz="4" w:space="0"/>
              <w:left w:val="single" w:color="auto" w:sz="4" w:space="0"/>
              <w:bottom w:val="single" w:color="auto" w:sz="4" w:space="0"/>
              <w:right w:val="single" w:color="auto" w:sz="4" w:space="0"/>
            </w:tcBorders>
            <w:vAlign w:val="center"/>
          </w:tcPr>
          <w:p w14:paraId="47E1070F">
            <w:pPr>
              <w:widowControl/>
              <w:spacing w:line="440" w:lineRule="exact"/>
              <w:jc w:val="center"/>
              <w:rPr>
                <w:rFonts w:ascii="宋体" w:cs="宋体"/>
                <w:kern w:val="0"/>
                <w:sz w:val="24"/>
                <w:szCs w:val="24"/>
              </w:rPr>
            </w:pPr>
            <w:r>
              <w:rPr>
                <w:rFonts w:hint="eastAsia" w:ascii="宋体" w:cs="宋体"/>
                <w:kern w:val="0"/>
                <w:sz w:val="24"/>
                <w:szCs w:val="24"/>
              </w:rPr>
              <w:t>1中3跟</w:t>
            </w:r>
          </w:p>
        </w:tc>
      </w:tr>
      <w:tr w14:paraId="368DCC29">
        <w:tblPrEx>
          <w:tblCellMar>
            <w:top w:w="0" w:type="dxa"/>
            <w:left w:w="108" w:type="dxa"/>
            <w:bottom w:w="0" w:type="dxa"/>
            <w:right w:w="108" w:type="dxa"/>
          </w:tblCellMar>
        </w:tblPrEx>
        <w:trPr>
          <w:trHeight w:val="742" w:hRule="atLeast"/>
        </w:trPr>
        <w:tc>
          <w:tcPr>
            <w:tcW w:w="2140" w:type="dxa"/>
            <w:tcBorders>
              <w:top w:val="single" w:color="auto" w:sz="4" w:space="0"/>
              <w:left w:val="single" w:color="auto" w:sz="4" w:space="0"/>
              <w:bottom w:val="single" w:color="auto" w:sz="4" w:space="0"/>
              <w:right w:val="single" w:color="auto" w:sz="4" w:space="0"/>
            </w:tcBorders>
            <w:vAlign w:val="center"/>
          </w:tcPr>
          <w:p w14:paraId="17953997">
            <w:pPr>
              <w:widowControl/>
              <w:spacing w:line="440" w:lineRule="exact"/>
              <w:jc w:val="center"/>
              <w:rPr>
                <w:rFonts w:ascii="宋体" w:cs="宋体"/>
                <w:kern w:val="0"/>
                <w:sz w:val="24"/>
                <w:szCs w:val="24"/>
              </w:rPr>
            </w:pPr>
            <w:r>
              <w:rPr>
                <w:rFonts w:hint="eastAsia" w:ascii="宋体" w:cs="宋体"/>
                <w:kern w:val="0"/>
                <w:sz w:val="24"/>
                <w:szCs w:val="24"/>
              </w:rPr>
              <w:t>第一标</w:t>
            </w:r>
          </w:p>
        </w:tc>
        <w:tc>
          <w:tcPr>
            <w:tcW w:w="1617" w:type="dxa"/>
            <w:tcBorders>
              <w:top w:val="single" w:color="auto" w:sz="4" w:space="0"/>
              <w:left w:val="single" w:color="auto" w:sz="4" w:space="0"/>
              <w:bottom w:val="single" w:color="auto" w:sz="4" w:space="0"/>
              <w:right w:val="single" w:color="auto" w:sz="4" w:space="0"/>
            </w:tcBorders>
            <w:vAlign w:val="center"/>
          </w:tcPr>
          <w:p w14:paraId="247682E3">
            <w:pPr>
              <w:widowControl/>
              <w:spacing w:line="440" w:lineRule="exact"/>
              <w:jc w:val="center"/>
              <w:rPr>
                <w:rFonts w:ascii="宋体" w:cs="宋体"/>
                <w:kern w:val="0"/>
                <w:sz w:val="24"/>
                <w:szCs w:val="24"/>
              </w:rPr>
            </w:pPr>
            <w:r>
              <w:rPr>
                <w:rFonts w:hint="eastAsia" w:ascii="宋体" w:cs="宋体"/>
                <w:kern w:val="0"/>
                <w:sz w:val="24"/>
                <w:szCs w:val="24"/>
              </w:rPr>
              <w:t>2500</w:t>
            </w:r>
          </w:p>
        </w:tc>
        <w:tc>
          <w:tcPr>
            <w:tcW w:w="1875" w:type="dxa"/>
            <w:tcBorders>
              <w:top w:val="single" w:color="auto" w:sz="4" w:space="0"/>
              <w:left w:val="single" w:color="auto" w:sz="4" w:space="0"/>
              <w:bottom w:val="single" w:color="auto" w:sz="4" w:space="0"/>
              <w:right w:val="single" w:color="auto" w:sz="4" w:space="0"/>
            </w:tcBorders>
            <w:vAlign w:val="center"/>
          </w:tcPr>
          <w:p w14:paraId="5D773B17">
            <w:pPr>
              <w:widowControl/>
              <w:spacing w:line="440" w:lineRule="exact"/>
              <w:jc w:val="center"/>
              <w:rPr>
                <w:rFonts w:ascii="宋体" w:cs="宋体"/>
                <w:color w:val="C00000"/>
                <w:kern w:val="0"/>
                <w:sz w:val="24"/>
                <w:szCs w:val="24"/>
              </w:rPr>
            </w:pPr>
            <w:r>
              <w:rPr>
                <w:rFonts w:hint="eastAsia" w:ascii="宋体" w:cs="宋体"/>
                <w:color w:val="C00000"/>
                <w:kern w:val="0"/>
                <w:sz w:val="24"/>
                <w:szCs w:val="24"/>
              </w:rPr>
              <w:t>1750</w:t>
            </w:r>
          </w:p>
        </w:tc>
        <w:tc>
          <w:tcPr>
            <w:tcW w:w="1717" w:type="dxa"/>
            <w:tcBorders>
              <w:top w:val="single" w:color="auto" w:sz="4" w:space="0"/>
              <w:left w:val="single" w:color="auto" w:sz="4" w:space="0"/>
              <w:bottom w:val="single" w:color="auto" w:sz="4" w:space="0"/>
              <w:right w:val="single" w:color="auto" w:sz="4" w:space="0"/>
            </w:tcBorders>
            <w:vAlign w:val="center"/>
          </w:tcPr>
          <w:p w14:paraId="1AF042D3">
            <w:pPr>
              <w:widowControl/>
              <w:spacing w:line="440" w:lineRule="exact"/>
              <w:jc w:val="center"/>
              <w:rPr>
                <w:rFonts w:ascii="宋体" w:cs="宋体"/>
                <w:color w:val="FF0000"/>
                <w:kern w:val="0"/>
                <w:sz w:val="24"/>
                <w:szCs w:val="24"/>
              </w:rPr>
            </w:pPr>
            <w:r>
              <w:rPr>
                <w:rFonts w:hint="eastAsia" w:ascii="宋体" w:cs="宋体"/>
                <w:color w:val="FF0000"/>
                <w:kern w:val="0"/>
                <w:sz w:val="24"/>
                <w:szCs w:val="24"/>
              </w:rPr>
              <w:t>1250</w:t>
            </w:r>
          </w:p>
        </w:tc>
        <w:tc>
          <w:tcPr>
            <w:tcW w:w="1835" w:type="dxa"/>
            <w:tcBorders>
              <w:top w:val="single" w:color="auto" w:sz="4" w:space="0"/>
              <w:left w:val="single" w:color="auto" w:sz="4" w:space="0"/>
              <w:bottom w:val="single" w:color="auto" w:sz="4" w:space="0"/>
              <w:right w:val="single" w:color="auto" w:sz="4" w:space="0"/>
            </w:tcBorders>
            <w:vAlign w:val="center"/>
          </w:tcPr>
          <w:p w14:paraId="66DB5C4B">
            <w:pPr>
              <w:widowControl/>
              <w:spacing w:line="440" w:lineRule="exact"/>
              <w:jc w:val="center"/>
              <w:rPr>
                <w:rFonts w:ascii="宋体" w:cs="宋体"/>
                <w:kern w:val="0"/>
                <w:sz w:val="24"/>
                <w:szCs w:val="24"/>
              </w:rPr>
            </w:pPr>
            <w:r>
              <w:rPr>
                <w:rFonts w:hint="eastAsia" w:ascii="宋体" w:cs="宋体"/>
                <w:kern w:val="0"/>
                <w:sz w:val="24"/>
                <w:szCs w:val="24"/>
              </w:rPr>
              <w:t>750</w:t>
            </w:r>
          </w:p>
        </w:tc>
      </w:tr>
      <w:tr w14:paraId="6B5EB8BB">
        <w:tblPrEx>
          <w:tblCellMar>
            <w:top w:w="0" w:type="dxa"/>
            <w:left w:w="108" w:type="dxa"/>
            <w:bottom w:w="0" w:type="dxa"/>
            <w:right w:w="108" w:type="dxa"/>
          </w:tblCellMar>
        </w:tblPrEx>
        <w:trPr>
          <w:trHeight w:val="742" w:hRule="atLeast"/>
        </w:trPr>
        <w:tc>
          <w:tcPr>
            <w:tcW w:w="2140" w:type="dxa"/>
            <w:tcBorders>
              <w:top w:val="single" w:color="auto" w:sz="4" w:space="0"/>
              <w:left w:val="single" w:color="auto" w:sz="4" w:space="0"/>
              <w:bottom w:val="single" w:color="auto" w:sz="4" w:space="0"/>
              <w:right w:val="single" w:color="auto" w:sz="4" w:space="0"/>
            </w:tcBorders>
            <w:vAlign w:val="center"/>
          </w:tcPr>
          <w:p w14:paraId="0679678B">
            <w:pPr>
              <w:widowControl/>
              <w:spacing w:line="440" w:lineRule="exact"/>
              <w:jc w:val="center"/>
              <w:rPr>
                <w:rFonts w:ascii="宋体" w:cs="宋体"/>
                <w:kern w:val="0"/>
                <w:sz w:val="24"/>
                <w:szCs w:val="24"/>
              </w:rPr>
            </w:pPr>
            <w:r>
              <w:rPr>
                <w:rFonts w:hint="eastAsia" w:ascii="宋体" w:cs="宋体"/>
                <w:kern w:val="0"/>
                <w:sz w:val="24"/>
                <w:szCs w:val="24"/>
              </w:rPr>
              <w:t>第二标</w:t>
            </w:r>
          </w:p>
        </w:tc>
        <w:tc>
          <w:tcPr>
            <w:tcW w:w="1617" w:type="dxa"/>
            <w:tcBorders>
              <w:top w:val="single" w:color="auto" w:sz="4" w:space="0"/>
              <w:left w:val="single" w:color="auto" w:sz="4" w:space="0"/>
              <w:bottom w:val="single" w:color="auto" w:sz="4" w:space="0"/>
              <w:right w:val="single" w:color="auto" w:sz="4" w:space="0"/>
            </w:tcBorders>
            <w:vAlign w:val="center"/>
          </w:tcPr>
          <w:p w14:paraId="40C4082A">
            <w:pPr>
              <w:widowControl/>
              <w:spacing w:line="440" w:lineRule="exact"/>
              <w:jc w:val="center"/>
              <w:rPr>
                <w:rFonts w:ascii="宋体" w:cs="宋体"/>
                <w:kern w:val="0"/>
                <w:sz w:val="24"/>
                <w:szCs w:val="24"/>
              </w:rPr>
            </w:pPr>
            <w:r>
              <w:rPr>
                <w:rFonts w:hint="eastAsia" w:ascii="宋体" w:cs="宋体"/>
                <w:kern w:val="0"/>
                <w:sz w:val="24"/>
                <w:szCs w:val="24"/>
              </w:rPr>
              <w:t>　</w:t>
            </w:r>
          </w:p>
        </w:tc>
        <w:tc>
          <w:tcPr>
            <w:tcW w:w="1875" w:type="dxa"/>
            <w:tcBorders>
              <w:top w:val="single" w:color="auto" w:sz="4" w:space="0"/>
              <w:left w:val="single" w:color="auto" w:sz="4" w:space="0"/>
              <w:bottom w:val="single" w:color="auto" w:sz="4" w:space="0"/>
              <w:right w:val="single" w:color="auto" w:sz="4" w:space="0"/>
            </w:tcBorders>
            <w:vAlign w:val="center"/>
          </w:tcPr>
          <w:p w14:paraId="60DE26A5">
            <w:pPr>
              <w:widowControl/>
              <w:spacing w:line="440" w:lineRule="exact"/>
              <w:jc w:val="center"/>
              <w:rPr>
                <w:rFonts w:ascii="宋体" w:cs="宋体"/>
                <w:color w:val="C00000"/>
                <w:kern w:val="0"/>
                <w:sz w:val="24"/>
                <w:szCs w:val="24"/>
              </w:rPr>
            </w:pPr>
            <w:r>
              <w:rPr>
                <w:rFonts w:hint="eastAsia" w:ascii="宋体" w:cs="宋体"/>
                <w:color w:val="C00000"/>
                <w:kern w:val="0"/>
                <w:sz w:val="24"/>
                <w:szCs w:val="24"/>
              </w:rPr>
              <w:t>750</w:t>
            </w:r>
          </w:p>
        </w:tc>
        <w:tc>
          <w:tcPr>
            <w:tcW w:w="1717" w:type="dxa"/>
            <w:tcBorders>
              <w:top w:val="single" w:color="auto" w:sz="4" w:space="0"/>
              <w:left w:val="single" w:color="auto" w:sz="4" w:space="0"/>
              <w:bottom w:val="single" w:color="auto" w:sz="4" w:space="0"/>
              <w:right w:val="single" w:color="auto" w:sz="4" w:space="0"/>
            </w:tcBorders>
            <w:vAlign w:val="center"/>
          </w:tcPr>
          <w:p w14:paraId="6315C6E4">
            <w:pPr>
              <w:widowControl/>
              <w:spacing w:line="440" w:lineRule="exact"/>
              <w:jc w:val="center"/>
              <w:rPr>
                <w:rFonts w:ascii="宋体" w:cs="宋体"/>
                <w:color w:val="FF0000"/>
                <w:kern w:val="0"/>
                <w:sz w:val="24"/>
                <w:szCs w:val="24"/>
              </w:rPr>
            </w:pPr>
            <w:r>
              <w:rPr>
                <w:rFonts w:hint="eastAsia" w:ascii="宋体" w:cs="宋体"/>
                <w:color w:val="FF0000"/>
                <w:kern w:val="0"/>
                <w:sz w:val="24"/>
                <w:szCs w:val="24"/>
              </w:rPr>
              <w:t>750</w:t>
            </w:r>
          </w:p>
        </w:tc>
        <w:tc>
          <w:tcPr>
            <w:tcW w:w="1835" w:type="dxa"/>
            <w:tcBorders>
              <w:top w:val="single" w:color="auto" w:sz="4" w:space="0"/>
              <w:left w:val="single" w:color="auto" w:sz="4" w:space="0"/>
              <w:bottom w:val="single" w:color="auto" w:sz="4" w:space="0"/>
              <w:right w:val="single" w:color="auto" w:sz="4" w:space="0"/>
            </w:tcBorders>
            <w:vAlign w:val="center"/>
          </w:tcPr>
          <w:p w14:paraId="3C311A03">
            <w:pPr>
              <w:widowControl/>
              <w:spacing w:line="440" w:lineRule="exact"/>
              <w:jc w:val="center"/>
              <w:rPr>
                <w:rFonts w:ascii="宋体" w:cs="宋体"/>
                <w:kern w:val="0"/>
                <w:sz w:val="24"/>
                <w:szCs w:val="24"/>
              </w:rPr>
            </w:pPr>
            <w:r>
              <w:rPr>
                <w:rFonts w:hint="eastAsia" w:ascii="宋体" w:cs="宋体"/>
                <w:kern w:val="0"/>
                <w:sz w:val="24"/>
                <w:szCs w:val="24"/>
              </w:rPr>
              <w:t>750</w:t>
            </w:r>
          </w:p>
        </w:tc>
      </w:tr>
      <w:tr w14:paraId="76D947E4">
        <w:tblPrEx>
          <w:tblCellMar>
            <w:top w:w="0" w:type="dxa"/>
            <w:left w:w="108" w:type="dxa"/>
            <w:bottom w:w="0" w:type="dxa"/>
            <w:right w:w="108" w:type="dxa"/>
          </w:tblCellMar>
        </w:tblPrEx>
        <w:trPr>
          <w:trHeight w:val="742" w:hRule="atLeast"/>
        </w:trPr>
        <w:tc>
          <w:tcPr>
            <w:tcW w:w="2140" w:type="dxa"/>
            <w:tcBorders>
              <w:top w:val="single" w:color="auto" w:sz="4" w:space="0"/>
              <w:left w:val="single" w:color="auto" w:sz="4" w:space="0"/>
              <w:bottom w:val="single" w:color="auto" w:sz="4" w:space="0"/>
              <w:right w:val="single" w:color="auto" w:sz="4" w:space="0"/>
            </w:tcBorders>
            <w:vAlign w:val="center"/>
          </w:tcPr>
          <w:p w14:paraId="1E97B9E7">
            <w:pPr>
              <w:widowControl/>
              <w:spacing w:line="440" w:lineRule="exact"/>
              <w:jc w:val="center"/>
              <w:rPr>
                <w:rFonts w:ascii="宋体" w:cs="宋体"/>
                <w:kern w:val="0"/>
                <w:sz w:val="24"/>
                <w:szCs w:val="24"/>
              </w:rPr>
            </w:pPr>
            <w:r>
              <w:rPr>
                <w:rFonts w:hint="eastAsia" w:ascii="宋体" w:cs="宋体"/>
                <w:kern w:val="0"/>
                <w:sz w:val="24"/>
                <w:szCs w:val="24"/>
              </w:rPr>
              <w:t>第三标</w:t>
            </w:r>
          </w:p>
        </w:tc>
        <w:tc>
          <w:tcPr>
            <w:tcW w:w="1617" w:type="dxa"/>
            <w:tcBorders>
              <w:top w:val="single" w:color="auto" w:sz="4" w:space="0"/>
              <w:left w:val="single" w:color="auto" w:sz="4" w:space="0"/>
              <w:bottom w:val="single" w:color="auto" w:sz="4" w:space="0"/>
              <w:right w:val="single" w:color="auto" w:sz="4" w:space="0"/>
            </w:tcBorders>
            <w:vAlign w:val="center"/>
          </w:tcPr>
          <w:p w14:paraId="3347951C">
            <w:pPr>
              <w:widowControl/>
              <w:spacing w:line="440" w:lineRule="exact"/>
              <w:jc w:val="center"/>
              <w:rPr>
                <w:rFonts w:ascii="宋体" w:cs="宋体"/>
                <w:kern w:val="0"/>
                <w:sz w:val="24"/>
                <w:szCs w:val="24"/>
              </w:rPr>
            </w:pPr>
            <w:r>
              <w:rPr>
                <w:rFonts w:hint="eastAsia" w:ascii="宋体" w:cs="宋体"/>
                <w:kern w:val="0"/>
                <w:sz w:val="24"/>
                <w:szCs w:val="24"/>
              </w:rPr>
              <w:t>　</w:t>
            </w:r>
          </w:p>
        </w:tc>
        <w:tc>
          <w:tcPr>
            <w:tcW w:w="1875" w:type="dxa"/>
            <w:tcBorders>
              <w:top w:val="single" w:color="auto" w:sz="4" w:space="0"/>
              <w:left w:val="single" w:color="auto" w:sz="4" w:space="0"/>
              <w:bottom w:val="single" w:color="auto" w:sz="4" w:space="0"/>
              <w:right w:val="single" w:color="auto" w:sz="4" w:space="0"/>
            </w:tcBorders>
            <w:vAlign w:val="center"/>
          </w:tcPr>
          <w:p w14:paraId="288009B3">
            <w:pPr>
              <w:widowControl/>
              <w:spacing w:line="440" w:lineRule="exact"/>
              <w:jc w:val="center"/>
              <w:rPr>
                <w:rFonts w:ascii="宋体" w:cs="宋体"/>
                <w:color w:val="C00000"/>
                <w:kern w:val="0"/>
                <w:sz w:val="24"/>
                <w:szCs w:val="24"/>
              </w:rPr>
            </w:pPr>
            <w:r>
              <w:rPr>
                <w:rFonts w:hint="eastAsia" w:ascii="宋体" w:cs="宋体"/>
                <w:color w:val="C00000"/>
                <w:kern w:val="0"/>
                <w:sz w:val="24"/>
                <w:szCs w:val="24"/>
              </w:rPr>
              <w:t>　</w:t>
            </w:r>
          </w:p>
        </w:tc>
        <w:tc>
          <w:tcPr>
            <w:tcW w:w="1717" w:type="dxa"/>
            <w:tcBorders>
              <w:top w:val="single" w:color="auto" w:sz="4" w:space="0"/>
              <w:left w:val="single" w:color="auto" w:sz="4" w:space="0"/>
              <w:bottom w:val="single" w:color="auto" w:sz="4" w:space="0"/>
              <w:right w:val="single" w:color="auto" w:sz="4" w:space="0"/>
            </w:tcBorders>
            <w:vAlign w:val="center"/>
          </w:tcPr>
          <w:p w14:paraId="686284C8">
            <w:pPr>
              <w:widowControl/>
              <w:spacing w:line="440" w:lineRule="exact"/>
              <w:jc w:val="center"/>
              <w:rPr>
                <w:rFonts w:ascii="宋体" w:cs="宋体"/>
                <w:color w:val="FF0000"/>
                <w:kern w:val="0"/>
                <w:sz w:val="24"/>
                <w:szCs w:val="24"/>
              </w:rPr>
            </w:pPr>
            <w:r>
              <w:rPr>
                <w:rFonts w:hint="eastAsia" w:ascii="宋体" w:cs="宋体"/>
                <w:color w:val="FF0000"/>
                <w:kern w:val="0"/>
                <w:sz w:val="24"/>
                <w:szCs w:val="24"/>
              </w:rPr>
              <w:t>500</w:t>
            </w:r>
          </w:p>
        </w:tc>
        <w:tc>
          <w:tcPr>
            <w:tcW w:w="1835" w:type="dxa"/>
            <w:tcBorders>
              <w:top w:val="single" w:color="auto" w:sz="4" w:space="0"/>
              <w:left w:val="single" w:color="auto" w:sz="4" w:space="0"/>
              <w:bottom w:val="single" w:color="auto" w:sz="4" w:space="0"/>
              <w:right w:val="single" w:color="auto" w:sz="4" w:space="0"/>
            </w:tcBorders>
            <w:vAlign w:val="center"/>
          </w:tcPr>
          <w:p w14:paraId="17416999">
            <w:pPr>
              <w:widowControl/>
              <w:spacing w:line="440" w:lineRule="exact"/>
              <w:jc w:val="center"/>
              <w:rPr>
                <w:rFonts w:ascii="宋体" w:cs="宋体"/>
                <w:kern w:val="0"/>
                <w:sz w:val="24"/>
                <w:szCs w:val="24"/>
              </w:rPr>
            </w:pPr>
            <w:r>
              <w:rPr>
                <w:rFonts w:hint="eastAsia" w:ascii="宋体" w:cs="宋体"/>
                <w:kern w:val="0"/>
                <w:sz w:val="24"/>
                <w:szCs w:val="24"/>
              </w:rPr>
              <w:t>500</w:t>
            </w:r>
          </w:p>
        </w:tc>
      </w:tr>
      <w:tr w14:paraId="394EC21D">
        <w:tblPrEx>
          <w:tblCellMar>
            <w:top w:w="0" w:type="dxa"/>
            <w:left w:w="108" w:type="dxa"/>
            <w:bottom w:w="0" w:type="dxa"/>
            <w:right w:w="108" w:type="dxa"/>
          </w:tblCellMar>
        </w:tblPrEx>
        <w:trPr>
          <w:trHeight w:val="666" w:hRule="atLeast"/>
        </w:trPr>
        <w:tc>
          <w:tcPr>
            <w:tcW w:w="2140" w:type="dxa"/>
            <w:tcBorders>
              <w:top w:val="single" w:color="auto" w:sz="4" w:space="0"/>
              <w:left w:val="single" w:color="auto" w:sz="4" w:space="0"/>
              <w:bottom w:val="single" w:color="auto" w:sz="4" w:space="0"/>
              <w:right w:val="single" w:color="auto" w:sz="4" w:space="0"/>
            </w:tcBorders>
            <w:vAlign w:val="center"/>
          </w:tcPr>
          <w:p w14:paraId="3456EB2E">
            <w:pPr>
              <w:widowControl/>
              <w:spacing w:line="440" w:lineRule="exact"/>
              <w:jc w:val="center"/>
              <w:rPr>
                <w:rFonts w:ascii="宋体" w:cs="宋体"/>
                <w:color w:val="FF0000"/>
                <w:kern w:val="0"/>
                <w:sz w:val="24"/>
                <w:szCs w:val="24"/>
              </w:rPr>
            </w:pPr>
            <w:r>
              <w:rPr>
                <w:rFonts w:hint="eastAsia" w:ascii="宋体" w:cs="宋体"/>
                <w:kern w:val="0"/>
                <w:sz w:val="24"/>
                <w:szCs w:val="24"/>
              </w:rPr>
              <w:t>第四标</w:t>
            </w:r>
          </w:p>
        </w:tc>
        <w:tc>
          <w:tcPr>
            <w:tcW w:w="1617" w:type="dxa"/>
            <w:tcBorders>
              <w:top w:val="single" w:color="auto" w:sz="4" w:space="0"/>
              <w:left w:val="single" w:color="auto" w:sz="4" w:space="0"/>
              <w:bottom w:val="single" w:color="auto" w:sz="4" w:space="0"/>
              <w:right w:val="single" w:color="auto" w:sz="4" w:space="0"/>
            </w:tcBorders>
            <w:vAlign w:val="center"/>
          </w:tcPr>
          <w:p w14:paraId="66778599">
            <w:pPr>
              <w:widowControl/>
              <w:spacing w:line="440" w:lineRule="exact"/>
              <w:jc w:val="center"/>
              <w:rPr>
                <w:rFonts w:ascii="宋体" w:cs="宋体"/>
                <w:kern w:val="0"/>
                <w:sz w:val="24"/>
                <w:szCs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3282D52B">
            <w:pPr>
              <w:widowControl/>
              <w:spacing w:line="440" w:lineRule="exact"/>
              <w:jc w:val="center"/>
              <w:rPr>
                <w:rFonts w:ascii="宋体" w:cs="宋体"/>
                <w:color w:val="C00000"/>
                <w:kern w:val="0"/>
                <w:sz w:val="24"/>
                <w:szCs w:val="24"/>
              </w:rPr>
            </w:pPr>
          </w:p>
        </w:tc>
        <w:tc>
          <w:tcPr>
            <w:tcW w:w="1717" w:type="dxa"/>
            <w:tcBorders>
              <w:top w:val="single" w:color="auto" w:sz="4" w:space="0"/>
              <w:left w:val="single" w:color="auto" w:sz="4" w:space="0"/>
              <w:bottom w:val="single" w:color="auto" w:sz="4" w:space="0"/>
              <w:right w:val="single" w:color="auto" w:sz="4" w:space="0"/>
            </w:tcBorders>
            <w:vAlign w:val="center"/>
          </w:tcPr>
          <w:p w14:paraId="3DA28598">
            <w:pPr>
              <w:widowControl/>
              <w:spacing w:line="440" w:lineRule="exact"/>
              <w:jc w:val="center"/>
              <w:rPr>
                <w:rFonts w:ascii="宋体" w:cs="宋体"/>
                <w:kern w:val="0"/>
                <w:sz w:val="24"/>
                <w:szCs w:val="24"/>
              </w:rPr>
            </w:pPr>
          </w:p>
        </w:tc>
        <w:tc>
          <w:tcPr>
            <w:tcW w:w="1835" w:type="dxa"/>
            <w:tcBorders>
              <w:top w:val="single" w:color="auto" w:sz="4" w:space="0"/>
              <w:left w:val="single" w:color="auto" w:sz="4" w:space="0"/>
              <w:bottom w:val="single" w:color="auto" w:sz="4" w:space="0"/>
              <w:right w:val="single" w:color="auto" w:sz="4" w:space="0"/>
            </w:tcBorders>
            <w:vAlign w:val="center"/>
          </w:tcPr>
          <w:p w14:paraId="7C0BED1A">
            <w:pPr>
              <w:widowControl/>
              <w:spacing w:line="440" w:lineRule="exact"/>
              <w:jc w:val="center"/>
              <w:rPr>
                <w:rFonts w:ascii="宋体" w:cs="宋体"/>
                <w:kern w:val="0"/>
                <w:sz w:val="24"/>
                <w:szCs w:val="24"/>
              </w:rPr>
            </w:pPr>
            <w:r>
              <w:rPr>
                <w:rFonts w:hint="eastAsia" w:ascii="宋体" w:cs="宋体"/>
                <w:kern w:val="0"/>
                <w:sz w:val="24"/>
                <w:szCs w:val="24"/>
              </w:rPr>
              <w:t>500</w:t>
            </w:r>
          </w:p>
        </w:tc>
      </w:tr>
      <w:tr w14:paraId="68BF6FCF">
        <w:tblPrEx>
          <w:tblCellMar>
            <w:top w:w="0" w:type="dxa"/>
            <w:left w:w="108" w:type="dxa"/>
            <w:bottom w:w="0" w:type="dxa"/>
            <w:right w:w="108" w:type="dxa"/>
          </w:tblCellMar>
        </w:tblPrEx>
        <w:trPr>
          <w:trHeight w:val="666" w:hRule="atLeast"/>
        </w:trPr>
        <w:tc>
          <w:tcPr>
            <w:tcW w:w="2140" w:type="dxa"/>
            <w:tcBorders>
              <w:top w:val="single" w:color="auto" w:sz="4" w:space="0"/>
              <w:left w:val="single" w:color="auto" w:sz="4" w:space="0"/>
              <w:bottom w:val="single" w:color="auto" w:sz="4" w:space="0"/>
              <w:right w:val="single" w:color="auto" w:sz="4" w:space="0"/>
            </w:tcBorders>
            <w:vAlign w:val="center"/>
          </w:tcPr>
          <w:p w14:paraId="4D86D175">
            <w:pPr>
              <w:widowControl/>
              <w:spacing w:line="440" w:lineRule="exact"/>
              <w:jc w:val="center"/>
              <w:rPr>
                <w:rFonts w:ascii="宋体" w:cs="宋体"/>
                <w:color w:val="FF0000"/>
                <w:kern w:val="0"/>
                <w:sz w:val="24"/>
                <w:szCs w:val="24"/>
              </w:rPr>
            </w:pPr>
            <w:r>
              <w:rPr>
                <w:rFonts w:hint="eastAsia" w:ascii="宋体" w:cs="宋体"/>
                <w:color w:val="FF0000"/>
                <w:kern w:val="0"/>
                <w:sz w:val="24"/>
                <w:szCs w:val="24"/>
              </w:rPr>
              <w:t>合计</w:t>
            </w:r>
          </w:p>
        </w:tc>
        <w:tc>
          <w:tcPr>
            <w:tcW w:w="1617" w:type="dxa"/>
            <w:tcBorders>
              <w:top w:val="single" w:color="auto" w:sz="4" w:space="0"/>
              <w:left w:val="single" w:color="auto" w:sz="4" w:space="0"/>
              <w:bottom w:val="single" w:color="auto" w:sz="4" w:space="0"/>
              <w:right w:val="single" w:color="auto" w:sz="4" w:space="0"/>
            </w:tcBorders>
            <w:vAlign w:val="center"/>
          </w:tcPr>
          <w:p w14:paraId="65A97680">
            <w:pPr>
              <w:widowControl/>
              <w:spacing w:line="440" w:lineRule="exact"/>
              <w:jc w:val="center"/>
              <w:rPr>
                <w:rFonts w:ascii="宋体" w:cs="宋体"/>
                <w:kern w:val="0"/>
                <w:sz w:val="24"/>
                <w:szCs w:val="24"/>
              </w:rPr>
            </w:pPr>
            <w:r>
              <w:rPr>
                <w:rFonts w:hint="eastAsia" w:ascii="宋体" w:cs="宋体"/>
                <w:kern w:val="0"/>
                <w:sz w:val="24"/>
                <w:szCs w:val="24"/>
              </w:rPr>
              <w:t>2500</w:t>
            </w:r>
          </w:p>
        </w:tc>
        <w:tc>
          <w:tcPr>
            <w:tcW w:w="1875" w:type="dxa"/>
            <w:tcBorders>
              <w:top w:val="single" w:color="auto" w:sz="4" w:space="0"/>
              <w:left w:val="single" w:color="auto" w:sz="4" w:space="0"/>
              <w:bottom w:val="single" w:color="auto" w:sz="4" w:space="0"/>
              <w:right w:val="single" w:color="auto" w:sz="4" w:space="0"/>
            </w:tcBorders>
            <w:vAlign w:val="center"/>
          </w:tcPr>
          <w:p w14:paraId="005FB347">
            <w:pPr>
              <w:widowControl/>
              <w:spacing w:line="440" w:lineRule="exact"/>
              <w:jc w:val="center"/>
              <w:rPr>
                <w:rFonts w:ascii="宋体" w:cs="宋体"/>
                <w:color w:val="C00000"/>
                <w:kern w:val="0"/>
                <w:sz w:val="24"/>
                <w:szCs w:val="24"/>
              </w:rPr>
            </w:pPr>
            <w:r>
              <w:rPr>
                <w:rFonts w:hint="eastAsia" w:ascii="宋体" w:cs="宋体"/>
                <w:color w:val="C00000"/>
                <w:kern w:val="0"/>
                <w:sz w:val="24"/>
                <w:szCs w:val="24"/>
              </w:rPr>
              <w:t>2500</w:t>
            </w:r>
          </w:p>
        </w:tc>
        <w:tc>
          <w:tcPr>
            <w:tcW w:w="1717" w:type="dxa"/>
            <w:tcBorders>
              <w:top w:val="single" w:color="auto" w:sz="4" w:space="0"/>
              <w:left w:val="single" w:color="auto" w:sz="4" w:space="0"/>
              <w:bottom w:val="single" w:color="auto" w:sz="4" w:space="0"/>
              <w:right w:val="single" w:color="auto" w:sz="4" w:space="0"/>
            </w:tcBorders>
            <w:vAlign w:val="center"/>
          </w:tcPr>
          <w:p w14:paraId="2C6B77F7">
            <w:pPr>
              <w:widowControl/>
              <w:spacing w:line="440" w:lineRule="exact"/>
              <w:jc w:val="center"/>
              <w:rPr>
                <w:rFonts w:ascii="宋体" w:cs="宋体"/>
                <w:kern w:val="0"/>
                <w:sz w:val="24"/>
                <w:szCs w:val="24"/>
              </w:rPr>
            </w:pPr>
            <w:r>
              <w:rPr>
                <w:rFonts w:hint="eastAsia" w:ascii="宋体" w:cs="宋体"/>
                <w:kern w:val="0"/>
                <w:sz w:val="24"/>
                <w:szCs w:val="24"/>
              </w:rPr>
              <w:t>2500</w:t>
            </w:r>
          </w:p>
        </w:tc>
        <w:tc>
          <w:tcPr>
            <w:tcW w:w="1835" w:type="dxa"/>
            <w:tcBorders>
              <w:top w:val="single" w:color="auto" w:sz="4" w:space="0"/>
              <w:left w:val="single" w:color="auto" w:sz="4" w:space="0"/>
              <w:bottom w:val="single" w:color="auto" w:sz="4" w:space="0"/>
              <w:right w:val="single" w:color="auto" w:sz="4" w:space="0"/>
            </w:tcBorders>
            <w:vAlign w:val="center"/>
          </w:tcPr>
          <w:p w14:paraId="5A553322">
            <w:pPr>
              <w:widowControl/>
              <w:spacing w:line="440" w:lineRule="exact"/>
              <w:jc w:val="center"/>
              <w:rPr>
                <w:rFonts w:ascii="宋体" w:cs="宋体"/>
                <w:kern w:val="0"/>
                <w:sz w:val="24"/>
                <w:szCs w:val="24"/>
              </w:rPr>
            </w:pPr>
            <w:r>
              <w:rPr>
                <w:rFonts w:hint="eastAsia" w:ascii="宋体" w:cs="宋体"/>
                <w:kern w:val="0"/>
                <w:sz w:val="24"/>
                <w:szCs w:val="24"/>
              </w:rPr>
              <w:t>2500</w:t>
            </w:r>
          </w:p>
        </w:tc>
      </w:tr>
    </w:tbl>
    <w:p w14:paraId="7D7CC549">
      <w:pPr>
        <w:spacing w:line="440" w:lineRule="exact"/>
        <w:ind w:firstLine="560" w:firstLineChars="200"/>
        <w:jc w:val="left"/>
        <w:rPr>
          <w:rFonts w:hint="eastAsia" w:ascii="宋体" w:hAnsi="宋体" w:cs="宋体"/>
          <w:sz w:val="28"/>
          <w:szCs w:val="28"/>
        </w:rPr>
      </w:pPr>
    </w:p>
    <w:p w14:paraId="2FA1BFC5">
      <w:pPr>
        <w:spacing w:line="440" w:lineRule="exact"/>
        <w:ind w:firstLine="562" w:firstLineChars="200"/>
        <w:rPr>
          <w:rFonts w:hint="eastAsia" w:ascii="宋体" w:hAnsi="宋体" w:cs="宋体"/>
          <w:sz w:val="28"/>
          <w:szCs w:val="28"/>
        </w:rPr>
      </w:pPr>
      <w:r>
        <w:rPr>
          <w:rFonts w:hint="eastAsia" w:ascii="宋体" w:hAnsi="宋体" w:cs="宋体"/>
          <w:b/>
          <w:bCs/>
          <w:sz w:val="28"/>
          <w:szCs w:val="28"/>
        </w:rPr>
        <w:t>2、提货时间</w:t>
      </w:r>
      <w:r>
        <w:rPr>
          <w:rFonts w:hint="eastAsia" w:ascii="宋体" w:hAnsi="宋体" w:cs="宋体"/>
          <w:sz w:val="28"/>
          <w:szCs w:val="28"/>
        </w:rPr>
        <w:t>：</w:t>
      </w:r>
      <w:r>
        <w:rPr>
          <w:rStyle w:val="7"/>
          <w:rFonts w:hint="default" w:ascii="Arial" w:hAnsi="Arial" w:eastAsia="宋体" w:cs="Arial"/>
          <w:i w:val="0"/>
          <w:iCs w:val="0"/>
          <w:caps w:val="0"/>
          <w:color w:val="FF0000"/>
          <w:spacing w:val="0"/>
          <w:sz w:val="27"/>
          <w:szCs w:val="27"/>
          <w:shd w:val="clear" w:color="auto" w:fill="FFFFFF"/>
        </w:rPr>
        <w:t>202</w:t>
      </w:r>
      <w:r>
        <w:rPr>
          <w:rStyle w:val="7"/>
          <w:rFonts w:hint="eastAsia" w:ascii="Arial" w:hAnsi="Arial" w:cs="Arial"/>
          <w:i w:val="0"/>
          <w:iCs w:val="0"/>
          <w:caps w:val="0"/>
          <w:color w:val="FF0000"/>
          <w:spacing w:val="0"/>
          <w:sz w:val="27"/>
          <w:szCs w:val="27"/>
          <w:shd w:val="clear" w:color="auto" w:fill="FFFFFF"/>
          <w:lang w:val="en-US" w:eastAsia="zh-CN"/>
        </w:rPr>
        <w:t>6</w:t>
      </w:r>
      <w:r>
        <w:rPr>
          <w:rStyle w:val="7"/>
          <w:rFonts w:hint="default" w:ascii="Arial" w:hAnsi="Arial" w:eastAsia="宋体" w:cs="Arial"/>
          <w:i w:val="0"/>
          <w:iCs w:val="0"/>
          <w:caps w:val="0"/>
          <w:color w:val="FF0000"/>
          <w:spacing w:val="0"/>
          <w:sz w:val="27"/>
          <w:szCs w:val="27"/>
          <w:shd w:val="clear" w:color="auto" w:fill="FFFFFF"/>
        </w:rPr>
        <w:t>年</w:t>
      </w:r>
      <w:r>
        <w:rPr>
          <w:rStyle w:val="7"/>
          <w:rFonts w:hint="eastAsia" w:ascii="Arial" w:hAnsi="Arial" w:cs="Arial"/>
          <w:i w:val="0"/>
          <w:iCs w:val="0"/>
          <w:caps w:val="0"/>
          <w:color w:val="FF0000"/>
          <w:spacing w:val="0"/>
          <w:sz w:val="27"/>
          <w:szCs w:val="27"/>
          <w:shd w:val="clear" w:color="auto" w:fill="FFFFFF"/>
          <w:lang w:val="en-US" w:eastAsia="zh-CN"/>
        </w:rPr>
        <w:t>10</w:t>
      </w:r>
      <w:r>
        <w:rPr>
          <w:rStyle w:val="7"/>
          <w:rFonts w:hint="default" w:ascii="Arial" w:hAnsi="Arial" w:eastAsia="宋体" w:cs="Arial"/>
          <w:i w:val="0"/>
          <w:iCs w:val="0"/>
          <w:caps w:val="0"/>
          <w:color w:val="FF0000"/>
          <w:spacing w:val="0"/>
          <w:sz w:val="27"/>
          <w:szCs w:val="27"/>
          <w:shd w:val="clear" w:color="auto" w:fill="FFFFFF"/>
        </w:rPr>
        <w:t>月</w:t>
      </w:r>
      <w:r>
        <w:rPr>
          <w:rStyle w:val="7"/>
          <w:rFonts w:hint="eastAsia" w:ascii="Arial" w:hAnsi="Arial" w:cs="Arial"/>
          <w:i w:val="0"/>
          <w:iCs w:val="0"/>
          <w:caps w:val="0"/>
          <w:color w:val="FF0000"/>
          <w:spacing w:val="0"/>
          <w:sz w:val="27"/>
          <w:szCs w:val="27"/>
          <w:shd w:val="clear" w:color="auto" w:fill="FFFFFF"/>
          <w:lang w:val="en-US" w:eastAsia="zh-CN"/>
        </w:rPr>
        <w:t>11</w:t>
      </w:r>
      <w:r>
        <w:rPr>
          <w:rStyle w:val="7"/>
          <w:rFonts w:hint="default" w:ascii="Arial" w:hAnsi="Arial" w:eastAsia="宋体" w:cs="Arial"/>
          <w:i w:val="0"/>
          <w:iCs w:val="0"/>
          <w:caps w:val="0"/>
          <w:color w:val="FF0000"/>
          <w:spacing w:val="0"/>
          <w:sz w:val="27"/>
          <w:szCs w:val="27"/>
          <w:shd w:val="clear" w:color="auto" w:fill="FFFFFF"/>
        </w:rPr>
        <w:t>日零时-202</w:t>
      </w:r>
      <w:r>
        <w:rPr>
          <w:rStyle w:val="7"/>
          <w:rFonts w:hint="eastAsia" w:ascii="Arial" w:hAnsi="Arial" w:cs="Arial"/>
          <w:i w:val="0"/>
          <w:iCs w:val="0"/>
          <w:caps w:val="0"/>
          <w:color w:val="FF0000"/>
          <w:spacing w:val="0"/>
          <w:sz w:val="27"/>
          <w:szCs w:val="27"/>
          <w:shd w:val="clear" w:color="auto" w:fill="FFFFFF"/>
          <w:lang w:val="en-US" w:eastAsia="zh-CN"/>
        </w:rPr>
        <w:t>6</w:t>
      </w:r>
      <w:r>
        <w:rPr>
          <w:rStyle w:val="7"/>
          <w:rFonts w:hint="default" w:ascii="Arial" w:hAnsi="Arial" w:eastAsia="宋体" w:cs="Arial"/>
          <w:i w:val="0"/>
          <w:iCs w:val="0"/>
          <w:caps w:val="0"/>
          <w:color w:val="FF0000"/>
          <w:spacing w:val="0"/>
          <w:sz w:val="27"/>
          <w:szCs w:val="27"/>
          <w:shd w:val="clear" w:color="auto" w:fill="FFFFFF"/>
        </w:rPr>
        <w:t>年</w:t>
      </w:r>
      <w:r>
        <w:rPr>
          <w:rStyle w:val="7"/>
          <w:rFonts w:hint="eastAsia" w:ascii="Arial" w:hAnsi="Arial" w:cs="Arial"/>
          <w:i w:val="0"/>
          <w:iCs w:val="0"/>
          <w:caps w:val="0"/>
          <w:color w:val="FF0000"/>
          <w:spacing w:val="0"/>
          <w:sz w:val="27"/>
          <w:szCs w:val="27"/>
          <w:shd w:val="clear" w:color="auto" w:fill="FFFFFF"/>
          <w:lang w:val="en-US" w:eastAsia="zh-CN"/>
        </w:rPr>
        <w:t>10</w:t>
      </w:r>
      <w:r>
        <w:rPr>
          <w:rStyle w:val="7"/>
          <w:rFonts w:hint="default" w:ascii="Arial" w:hAnsi="Arial" w:eastAsia="宋体" w:cs="Arial"/>
          <w:i w:val="0"/>
          <w:iCs w:val="0"/>
          <w:caps w:val="0"/>
          <w:color w:val="FF0000"/>
          <w:spacing w:val="0"/>
          <w:sz w:val="27"/>
          <w:szCs w:val="27"/>
          <w:shd w:val="clear" w:color="auto" w:fill="FFFFFF"/>
        </w:rPr>
        <w:t>月</w:t>
      </w:r>
      <w:r>
        <w:rPr>
          <w:rStyle w:val="7"/>
          <w:rFonts w:hint="eastAsia" w:ascii="Arial" w:hAnsi="Arial" w:cs="Arial"/>
          <w:i w:val="0"/>
          <w:iCs w:val="0"/>
          <w:caps w:val="0"/>
          <w:color w:val="FF0000"/>
          <w:spacing w:val="0"/>
          <w:sz w:val="27"/>
          <w:szCs w:val="27"/>
          <w:shd w:val="clear" w:color="auto" w:fill="FFFFFF"/>
          <w:lang w:val="en-US" w:eastAsia="zh-CN"/>
        </w:rPr>
        <w:t>30</w:t>
      </w:r>
      <w:r>
        <w:rPr>
          <w:rStyle w:val="7"/>
          <w:rFonts w:hint="default" w:ascii="Arial" w:hAnsi="Arial" w:eastAsia="宋体" w:cs="Arial"/>
          <w:i w:val="0"/>
          <w:iCs w:val="0"/>
          <w:caps w:val="0"/>
          <w:color w:val="FF0000"/>
          <w:spacing w:val="0"/>
          <w:sz w:val="27"/>
          <w:szCs w:val="27"/>
          <w:shd w:val="clear" w:color="auto" w:fill="FFFFFF"/>
        </w:rPr>
        <w:t>日24</w:t>
      </w:r>
      <w:r>
        <w:rPr>
          <w:rStyle w:val="7"/>
          <w:rFonts w:hint="eastAsia" w:ascii="Arial" w:hAnsi="Arial" w:cs="Arial"/>
          <w:i w:val="0"/>
          <w:iCs w:val="0"/>
          <w:caps w:val="0"/>
          <w:color w:val="FF0000"/>
          <w:spacing w:val="0"/>
          <w:sz w:val="27"/>
          <w:szCs w:val="27"/>
          <w:shd w:val="clear" w:color="auto" w:fill="FFFFFF"/>
          <w:lang w:val="en-US" w:eastAsia="zh-CN"/>
        </w:rPr>
        <w:t>时</w:t>
      </w:r>
      <w:r>
        <w:rPr>
          <w:rFonts w:hint="eastAsia" w:ascii="宋体" w:hAnsi="宋体" w:cs="宋体"/>
          <w:color w:val="FF0000"/>
          <w:sz w:val="28"/>
          <w:szCs w:val="28"/>
        </w:rPr>
        <w:t>。</w:t>
      </w:r>
    </w:p>
    <w:p w14:paraId="29436AE3">
      <w:pPr>
        <w:spacing w:line="440" w:lineRule="exact"/>
        <w:ind w:firstLine="562" w:firstLineChars="200"/>
        <w:rPr>
          <w:rFonts w:hint="eastAsia" w:ascii="宋体" w:hAnsi="宋体" w:cs="宋体"/>
          <w:sz w:val="28"/>
          <w:szCs w:val="28"/>
        </w:rPr>
      </w:pPr>
      <w:r>
        <w:rPr>
          <w:rFonts w:hint="eastAsia" w:ascii="宋体" w:hAnsi="宋体" w:cs="宋体"/>
          <w:b/>
          <w:bCs/>
          <w:sz w:val="28"/>
          <w:szCs w:val="28"/>
        </w:rPr>
        <w:t>3、质量标准</w:t>
      </w:r>
      <w:r>
        <w:rPr>
          <w:rFonts w:hint="eastAsia" w:ascii="宋体" w:hAnsi="宋体" w:cs="宋体"/>
          <w:sz w:val="28"/>
          <w:szCs w:val="28"/>
        </w:rPr>
        <w:t>：见技术要求。</w:t>
      </w:r>
    </w:p>
    <w:p w14:paraId="1FC728AB">
      <w:pPr>
        <w:spacing w:line="440" w:lineRule="exact"/>
        <w:ind w:firstLine="562" w:firstLineChars="200"/>
        <w:rPr>
          <w:rFonts w:hint="eastAsia" w:ascii="宋体" w:hAnsi="宋体" w:cs="宋体"/>
          <w:sz w:val="28"/>
          <w:szCs w:val="28"/>
        </w:rPr>
      </w:pPr>
      <w:r>
        <w:rPr>
          <w:rFonts w:hint="eastAsia" w:ascii="宋体" w:hAnsi="宋体" w:cs="宋体"/>
          <w:b/>
          <w:bCs/>
          <w:sz w:val="28"/>
          <w:szCs w:val="28"/>
        </w:rPr>
        <w:t>4、交货地点</w:t>
      </w:r>
      <w:r>
        <w:rPr>
          <w:rFonts w:hint="eastAsia" w:ascii="宋体" w:hAnsi="宋体" w:cs="宋体"/>
          <w:sz w:val="28"/>
          <w:szCs w:val="28"/>
        </w:rPr>
        <w:t>：河南安钢周口钢铁有限责任公司</w:t>
      </w:r>
    </w:p>
    <w:p w14:paraId="63CBBAD0">
      <w:pPr>
        <w:spacing w:line="440" w:lineRule="exact"/>
        <w:ind w:firstLine="560" w:firstLineChars="200"/>
        <w:rPr>
          <w:rFonts w:hint="eastAsia" w:ascii="宋体" w:hAnsi="宋体" w:cs="宋体"/>
          <w:sz w:val="28"/>
          <w:szCs w:val="28"/>
        </w:rPr>
      </w:pPr>
      <w:r>
        <w:rPr>
          <w:rFonts w:hint="eastAsia" w:ascii="宋体" w:hAnsi="宋体" w:cs="宋体"/>
          <w:sz w:val="28"/>
          <w:szCs w:val="28"/>
        </w:rPr>
        <w:t>5、</w:t>
      </w:r>
      <w:r>
        <w:rPr>
          <w:rFonts w:hint="eastAsia" w:ascii="宋体" w:hAnsi="宋体" w:cs="宋体"/>
          <w:b/>
          <w:sz w:val="28"/>
          <w:szCs w:val="28"/>
        </w:rPr>
        <w:t>期限要求</w:t>
      </w:r>
    </w:p>
    <w:p w14:paraId="1081B6CD">
      <w:pPr>
        <w:keepNext w:val="0"/>
        <w:keepLines w:val="0"/>
        <w:pageBreakBefore w:val="0"/>
        <w:kinsoku/>
        <w:wordWrap/>
        <w:overflowPunct/>
        <w:topLinePunct w:val="0"/>
        <w:autoSpaceDE/>
        <w:autoSpaceDN/>
        <w:bidi w:val="0"/>
        <w:adjustRightInd/>
        <w:snapToGrid/>
        <w:spacing w:line="440" w:lineRule="exact"/>
        <w:ind w:firstLine="560" w:firstLineChars="200"/>
        <w:textAlignment w:val="auto"/>
        <w:rPr>
          <w:rFonts w:hint="eastAsia" w:ascii="宋体" w:hAnsi="宋体" w:cs="宋体"/>
          <w:color w:val="FF0000"/>
          <w:sz w:val="28"/>
          <w:szCs w:val="28"/>
          <w:highlight w:val="none"/>
        </w:rPr>
      </w:pPr>
      <w:r>
        <w:rPr>
          <w:rFonts w:hint="eastAsia" w:ascii="宋体" w:hAnsi="宋体" w:cs="宋体"/>
          <w:sz w:val="28"/>
          <w:szCs w:val="28"/>
        </w:rPr>
        <w:t>报名及缴款截止时间：</w:t>
      </w:r>
      <w:r>
        <w:rPr>
          <w:rFonts w:hint="eastAsia" w:ascii="宋体" w:hAnsi="宋体" w:cs="宋体"/>
          <w:color w:val="FF0000"/>
          <w:sz w:val="28"/>
          <w:szCs w:val="28"/>
          <w:highlight w:val="none"/>
        </w:rPr>
        <w:t>202</w:t>
      </w:r>
      <w:r>
        <w:rPr>
          <w:rFonts w:hint="eastAsia" w:ascii="宋体" w:hAnsi="宋体" w:cs="宋体"/>
          <w:color w:val="FF0000"/>
          <w:sz w:val="28"/>
          <w:szCs w:val="28"/>
          <w:highlight w:val="none"/>
          <w:lang w:val="en-US" w:eastAsia="zh-CN"/>
        </w:rPr>
        <w:t>6</w:t>
      </w:r>
      <w:r>
        <w:rPr>
          <w:rFonts w:hint="eastAsia" w:ascii="宋体" w:hAnsi="宋体" w:cs="宋体"/>
          <w:color w:val="FF0000"/>
          <w:sz w:val="28"/>
          <w:szCs w:val="28"/>
          <w:highlight w:val="none"/>
        </w:rPr>
        <w:t>年</w:t>
      </w:r>
      <w:r>
        <w:rPr>
          <w:rFonts w:hint="eastAsia" w:ascii="宋体" w:hAnsi="宋体" w:cs="宋体"/>
          <w:color w:val="FF0000"/>
          <w:sz w:val="28"/>
          <w:szCs w:val="28"/>
          <w:highlight w:val="none"/>
          <w:lang w:val="en-US" w:eastAsia="zh-CN"/>
        </w:rPr>
        <w:t>10</w:t>
      </w:r>
      <w:r>
        <w:rPr>
          <w:rFonts w:hint="eastAsia" w:ascii="宋体" w:hAnsi="宋体" w:cs="宋体"/>
          <w:color w:val="FF0000"/>
          <w:sz w:val="28"/>
          <w:szCs w:val="28"/>
          <w:highlight w:val="none"/>
        </w:rPr>
        <w:t>月</w:t>
      </w:r>
      <w:r>
        <w:rPr>
          <w:rFonts w:hint="eastAsia" w:ascii="宋体" w:hAnsi="宋体" w:cs="宋体"/>
          <w:color w:val="FF0000"/>
          <w:sz w:val="28"/>
          <w:szCs w:val="28"/>
          <w:highlight w:val="none"/>
          <w:lang w:val="en-US" w:eastAsia="zh-CN"/>
        </w:rPr>
        <w:t>08</w:t>
      </w:r>
      <w:r>
        <w:rPr>
          <w:rFonts w:hint="eastAsia" w:ascii="宋体" w:hAnsi="宋体" w:cs="宋体"/>
          <w:color w:val="FF0000"/>
          <w:sz w:val="28"/>
          <w:szCs w:val="28"/>
          <w:highlight w:val="none"/>
        </w:rPr>
        <w:t>日</w:t>
      </w:r>
      <w:r>
        <w:rPr>
          <w:rFonts w:hint="eastAsia" w:ascii="宋体" w:hAnsi="宋体" w:cs="宋体"/>
          <w:color w:val="FF0000"/>
          <w:sz w:val="28"/>
          <w:szCs w:val="28"/>
          <w:highlight w:val="none"/>
          <w:lang w:val="en-US" w:eastAsia="zh-CN"/>
        </w:rPr>
        <w:t>18</w:t>
      </w:r>
      <w:r>
        <w:rPr>
          <w:rFonts w:hint="eastAsia" w:ascii="宋体" w:hAnsi="宋体" w:cs="宋体"/>
          <w:color w:val="FF0000"/>
          <w:sz w:val="28"/>
          <w:szCs w:val="28"/>
          <w:highlight w:val="none"/>
        </w:rPr>
        <w:t>时</w:t>
      </w:r>
    </w:p>
    <w:p w14:paraId="272FF310">
      <w:pPr>
        <w:keepNext w:val="0"/>
        <w:keepLines w:val="0"/>
        <w:pageBreakBefore w:val="0"/>
        <w:kinsoku/>
        <w:wordWrap/>
        <w:overflowPunct/>
        <w:topLinePunct w:val="0"/>
        <w:autoSpaceDE/>
        <w:autoSpaceDN/>
        <w:bidi w:val="0"/>
        <w:adjustRightInd/>
        <w:snapToGrid/>
        <w:spacing w:line="440" w:lineRule="exact"/>
        <w:ind w:firstLine="560" w:firstLineChars="200"/>
        <w:textAlignment w:val="auto"/>
        <w:rPr>
          <w:rFonts w:hint="eastAsia" w:ascii="宋体" w:hAnsi="宋体" w:cs="宋体"/>
          <w:color w:val="FF0000"/>
          <w:sz w:val="28"/>
          <w:szCs w:val="28"/>
          <w:highlight w:val="none"/>
        </w:rPr>
      </w:pPr>
      <w:r>
        <w:rPr>
          <w:rFonts w:hint="eastAsia" w:ascii="宋体" w:hAnsi="宋体" w:cs="宋体"/>
          <w:color w:val="FF0000"/>
          <w:sz w:val="28"/>
          <w:szCs w:val="28"/>
          <w:highlight w:val="none"/>
        </w:rPr>
        <w:t>竞价开始时间：202</w:t>
      </w:r>
      <w:r>
        <w:rPr>
          <w:rFonts w:hint="eastAsia" w:ascii="宋体" w:hAnsi="宋体" w:cs="宋体"/>
          <w:color w:val="FF0000"/>
          <w:sz w:val="28"/>
          <w:szCs w:val="28"/>
          <w:highlight w:val="none"/>
          <w:lang w:val="en-US" w:eastAsia="zh-CN"/>
        </w:rPr>
        <w:t>6</w:t>
      </w:r>
      <w:r>
        <w:rPr>
          <w:rFonts w:hint="eastAsia" w:ascii="宋体" w:hAnsi="宋体" w:cs="宋体"/>
          <w:color w:val="FF0000"/>
          <w:sz w:val="28"/>
          <w:szCs w:val="28"/>
          <w:highlight w:val="none"/>
        </w:rPr>
        <w:t>年</w:t>
      </w:r>
      <w:r>
        <w:rPr>
          <w:rFonts w:hint="eastAsia" w:ascii="宋体" w:hAnsi="宋体" w:cs="宋体"/>
          <w:color w:val="FF0000"/>
          <w:sz w:val="28"/>
          <w:szCs w:val="28"/>
          <w:highlight w:val="none"/>
          <w:lang w:val="en-US" w:eastAsia="zh-CN"/>
        </w:rPr>
        <w:t>10</w:t>
      </w:r>
      <w:r>
        <w:rPr>
          <w:rFonts w:hint="eastAsia" w:ascii="宋体" w:hAnsi="宋体" w:cs="宋体"/>
          <w:color w:val="FF0000"/>
          <w:sz w:val="28"/>
          <w:szCs w:val="28"/>
          <w:highlight w:val="none"/>
        </w:rPr>
        <w:t>月</w:t>
      </w:r>
      <w:r>
        <w:rPr>
          <w:rFonts w:hint="eastAsia" w:ascii="宋体" w:hAnsi="宋体" w:cs="宋体"/>
          <w:color w:val="FF0000"/>
          <w:sz w:val="28"/>
          <w:szCs w:val="28"/>
          <w:highlight w:val="none"/>
          <w:lang w:val="en-US" w:eastAsia="zh-CN"/>
        </w:rPr>
        <w:t>09</w:t>
      </w:r>
      <w:r>
        <w:rPr>
          <w:rFonts w:hint="eastAsia" w:ascii="宋体" w:hAnsi="宋体" w:cs="宋体"/>
          <w:color w:val="FF0000"/>
          <w:sz w:val="28"/>
          <w:szCs w:val="28"/>
          <w:highlight w:val="none"/>
        </w:rPr>
        <w:t>日</w:t>
      </w:r>
    </w:p>
    <w:p w14:paraId="0132CDBB">
      <w:pPr>
        <w:spacing w:line="440" w:lineRule="exact"/>
        <w:ind w:firstLine="562" w:firstLineChars="200"/>
        <w:rPr>
          <w:rFonts w:hint="eastAsia" w:ascii="宋体" w:hAnsi="宋体" w:cs="宋体"/>
          <w:b/>
          <w:bCs/>
          <w:sz w:val="28"/>
          <w:szCs w:val="28"/>
        </w:rPr>
      </w:pPr>
      <w:r>
        <w:rPr>
          <w:rFonts w:hint="eastAsia" w:ascii="宋体" w:hAnsi="宋体" w:cs="宋体"/>
          <w:b/>
          <w:bCs/>
          <w:sz w:val="28"/>
          <w:szCs w:val="28"/>
        </w:rPr>
        <w:t>6、注意事项：</w:t>
      </w:r>
    </w:p>
    <w:p w14:paraId="17D8E18E">
      <w:pPr>
        <w:spacing w:line="440" w:lineRule="exact"/>
        <w:ind w:firstLine="560" w:firstLineChars="200"/>
        <w:rPr>
          <w:rFonts w:ascii="宋体" w:hAnsi="宋体" w:cs="宋体"/>
          <w:sz w:val="28"/>
          <w:szCs w:val="28"/>
        </w:rPr>
      </w:pPr>
      <w:r>
        <w:rPr>
          <w:rFonts w:hint="eastAsia" w:ascii="宋体" w:hAnsi="宋体" w:cs="宋体"/>
          <w:sz w:val="28"/>
          <w:szCs w:val="28"/>
        </w:rPr>
        <w:t>竞买方中标后必须与河南安钢物流有限公司周口分公司签订车辆运输服务合同，(原则上50公里以内的)采用电动重卡提货运输，且必须严格按照标载进行装车。投标前投标方应对货物装卸车环境、道路通行状况等情况提前进行调研，综合考虑疫情防控、环保管控、季节特点、春节保供等因素对运价产生的影响。如因对上述情况不了解或未充分考虑而造成未能如期完成运量的，责任由中标方承担。</w:t>
      </w:r>
    </w:p>
    <w:p w14:paraId="48369D03">
      <w:pPr>
        <w:spacing w:line="440" w:lineRule="exact"/>
        <w:ind w:firstLine="562" w:firstLineChars="200"/>
        <w:rPr>
          <w:rFonts w:hint="eastAsia" w:ascii="宋体" w:hAnsi="宋体" w:cs="宋体"/>
          <w:b/>
          <w:bCs/>
          <w:sz w:val="28"/>
          <w:szCs w:val="28"/>
        </w:rPr>
      </w:pPr>
      <w:r>
        <w:rPr>
          <w:rFonts w:hint="eastAsia" w:ascii="宋体" w:hAnsi="宋体" w:cs="宋体"/>
          <w:b/>
          <w:bCs/>
          <w:sz w:val="28"/>
          <w:szCs w:val="28"/>
        </w:rPr>
        <w:t>二、竞价经销商入围资格</w:t>
      </w:r>
    </w:p>
    <w:p w14:paraId="5B4ECEAC">
      <w:pPr>
        <w:widowControl/>
        <w:spacing w:line="440" w:lineRule="exact"/>
        <w:ind w:firstLine="562" w:firstLineChars="200"/>
        <w:jc w:val="left"/>
        <w:rPr>
          <w:rFonts w:hint="eastAsia" w:ascii="宋体" w:hAnsi="宋体" w:cs="宋体"/>
          <w:b/>
          <w:bCs/>
          <w:color w:val="3C3C3C"/>
          <w:kern w:val="0"/>
          <w:sz w:val="28"/>
          <w:szCs w:val="28"/>
        </w:rPr>
      </w:pPr>
      <w:r>
        <w:rPr>
          <w:rFonts w:hint="eastAsia" w:ascii="宋体" w:hAnsi="宋体" w:cs="宋体"/>
          <w:b/>
          <w:bCs/>
          <w:color w:val="000000"/>
          <w:kern w:val="0"/>
          <w:sz w:val="28"/>
          <w:szCs w:val="28"/>
        </w:rPr>
        <w:t>1、投标人资质</w:t>
      </w:r>
    </w:p>
    <w:p w14:paraId="795B8322">
      <w:pPr>
        <w:widowControl/>
        <w:spacing w:line="440" w:lineRule="exact"/>
        <w:ind w:firstLine="560" w:firstLineChars="200"/>
        <w:jc w:val="left"/>
        <w:rPr>
          <w:rFonts w:hint="eastAsia" w:ascii="宋体" w:hAnsi="宋体" w:cs="宋体"/>
          <w:sz w:val="28"/>
          <w:szCs w:val="28"/>
        </w:rPr>
      </w:pPr>
      <w:r>
        <w:rPr>
          <w:rFonts w:hint="eastAsia" w:ascii="宋体" w:hAnsi="宋体" w:cs="宋体"/>
          <w:sz w:val="28"/>
          <w:szCs w:val="28"/>
        </w:rPr>
        <w:t>1、投标单位是安钢周口钢铁公司水渣产品的合格经销商。</w:t>
      </w:r>
    </w:p>
    <w:p w14:paraId="46C2A9B6">
      <w:pPr>
        <w:spacing w:line="440" w:lineRule="exact"/>
        <w:ind w:firstLine="600"/>
        <w:rPr>
          <w:rFonts w:hint="eastAsia" w:ascii="宋体" w:hAnsi="宋体" w:cs="宋体"/>
          <w:sz w:val="28"/>
          <w:szCs w:val="28"/>
        </w:rPr>
      </w:pPr>
      <w:r>
        <w:rPr>
          <w:rFonts w:hint="eastAsia" w:ascii="宋体" w:hAnsi="宋体" w:cs="宋体"/>
          <w:sz w:val="28"/>
          <w:szCs w:val="28"/>
        </w:rPr>
        <w:t>2、新参与竞标单位必须是生产型企业。</w:t>
      </w:r>
    </w:p>
    <w:p w14:paraId="34F5766C">
      <w:pPr>
        <w:spacing w:line="440" w:lineRule="exact"/>
        <w:ind w:firstLine="562" w:firstLineChars="200"/>
        <w:rPr>
          <w:rFonts w:hint="eastAsia" w:ascii="宋体" w:hAnsi="宋体" w:cs="宋体"/>
          <w:b/>
          <w:bCs/>
          <w:color w:val="FF0000"/>
          <w:sz w:val="28"/>
          <w:szCs w:val="28"/>
        </w:rPr>
      </w:pPr>
      <w:r>
        <w:rPr>
          <w:rFonts w:hint="eastAsia" w:ascii="宋体" w:hAnsi="宋体" w:cs="宋体"/>
          <w:b/>
          <w:bCs/>
          <w:color w:val="FF0000"/>
          <w:sz w:val="28"/>
          <w:szCs w:val="28"/>
        </w:rPr>
        <w:t>2、</w:t>
      </w:r>
      <w:r>
        <w:rPr>
          <w:rFonts w:hint="eastAsia" w:ascii="宋体" w:hAnsi="宋体" w:cs="宋体"/>
          <w:b/>
          <w:bCs/>
          <w:color w:val="FF0000"/>
          <w:kern w:val="0"/>
          <w:sz w:val="30"/>
          <w:szCs w:val="30"/>
        </w:rPr>
        <w:t>入围材料</w:t>
      </w:r>
    </w:p>
    <w:p w14:paraId="47CCD5C4">
      <w:pPr>
        <w:widowControl/>
        <w:spacing w:line="440" w:lineRule="exact"/>
        <w:ind w:firstLine="540"/>
        <w:jc w:val="left"/>
        <w:rPr>
          <w:rFonts w:hint="eastAsia" w:ascii="宋体" w:hAnsi="宋体" w:cs="宋体"/>
          <w:color w:val="FF0000"/>
          <w:kern w:val="0"/>
          <w:sz w:val="28"/>
          <w:szCs w:val="28"/>
        </w:rPr>
      </w:pPr>
      <w:r>
        <w:rPr>
          <w:rFonts w:hint="eastAsia" w:ascii="宋体" w:hAnsi="宋体" w:cs="宋体"/>
          <w:color w:val="FF0000"/>
          <w:kern w:val="0"/>
          <w:sz w:val="28"/>
          <w:szCs w:val="28"/>
        </w:rPr>
        <w:t>1、营业执照，须在有效期内。</w:t>
      </w:r>
    </w:p>
    <w:p w14:paraId="18319374">
      <w:pPr>
        <w:widowControl/>
        <w:spacing w:line="440" w:lineRule="exact"/>
        <w:ind w:firstLine="560" w:firstLineChars="200"/>
        <w:jc w:val="left"/>
        <w:rPr>
          <w:rFonts w:hint="eastAsia" w:ascii="宋体" w:hAnsi="宋体" w:cs="宋体"/>
          <w:color w:val="FF0000"/>
          <w:kern w:val="0"/>
          <w:sz w:val="28"/>
          <w:szCs w:val="28"/>
        </w:rPr>
      </w:pPr>
      <w:r>
        <w:rPr>
          <w:rFonts w:hint="eastAsia" w:ascii="宋体" w:hAnsi="宋体" w:cs="宋体"/>
          <w:color w:val="FF0000"/>
          <w:kern w:val="0"/>
          <w:sz w:val="28"/>
          <w:szCs w:val="28"/>
        </w:rPr>
        <w:t>2、法人授权委托书，法人代表及委托代理人身份证件。</w:t>
      </w:r>
    </w:p>
    <w:p w14:paraId="40F2750D">
      <w:pPr>
        <w:widowControl/>
        <w:spacing w:line="440" w:lineRule="exact"/>
        <w:ind w:firstLine="560" w:firstLineChars="200"/>
        <w:jc w:val="left"/>
        <w:rPr>
          <w:rFonts w:hint="eastAsia" w:ascii="宋体" w:hAnsi="宋体" w:cs="宋体"/>
          <w:color w:val="FF0000"/>
          <w:kern w:val="0"/>
          <w:sz w:val="28"/>
          <w:szCs w:val="28"/>
        </w:rPr>
      </w:pPr>
      <w:r>
        <w:rPr>
          <w:rFonts w:hint="eastAsia" w:ascii="宋体" w:hAnsi="宋体" w:cs="宋体"/>
          <w:color w:val="FF0000"/>
          <w:kern w:val="0"/>
          <w:sz w:val="28"/>
          <w:szCs w:val="28"/>
        </w:rPr>
        <w:t>3、竞买客户资格：企业性质：生产型</w:t>
      </w:r>
    </w:p>
    <w:p w14:paraId="30813822">
      <w:pPr>
        <w:widowControl/>
        <w:spacing w:line="440" w:lineRule="exact"/>
        <w:ind w:firstLine="560" w:firstLineChars="200"/>
        <w:jc w:val="left"/>
        <w:rPr>
          <w:rFonts w:hint="eastAsia" w:ascii="宋体" w:hAnsi="宋体" w:cs="宋体"/>
          <w:color w:val="FF0000"/>
          <w:kern w:val="0"/>
          <w:sz w:val="28"/>
          <w:szCs w:val="28"/>
        </w:rPr>
      </w:pPr>
      <w:r>
        <w:rPr>
          <w:rFonts w:hint="eastAsia" w:ascii="宋体" w:hAnsi="宋体" w:cs="宋体"/>
          <w:color w:val="FF0000"/>
          <w:kern w:val="0"/>
          <w:sz w:val="28"/>
          <w:szCs w:val="28"/>
        </w:rPr>
        <w:t>生产或经营范围：相关产品生产、加工</w:t>
      </w:r>
    </w:p>
    <w:p w14:paraId="685343F8">
      <w:pPr>
        <w:widowControl/>
        <w:spacing w:line="440" w:lineRule="exact"/>
        <w:ind w:firstLine="560" w:firstLineChars="200"/>
        <w:jc w:val="left"/>
        <w:rPr>
          <w:rFonts w:hint="eastAsia" w:ascii="宋体" w:hAnsi="宋体" w:cs="宋体"/>
          <w:color w:val="FF0000"/>
          <w:sz w:val="28"/>
          <w:szCs w:val="28"/>
        </w:rPr>
      </w:pPr>
      <w:r>
        <w:rPr>
          <w:rFonts w:hint="eastAsia" w:ascii="宋体" w:hAnsi="宋体" w:cs="宋体"/>
          <w:color w:val="FF0000"/>
          <w:kern w:val="0"/>
          <w:sz w:val="28"/>
          <w:szCs w:val="28"/>
        </w:rPr>
        <w:t>生产型：水泥、矿粉、钢渣破碎深加工、砖厂制造、机制砂、石料石粉、矿石加工、砂浆、熟料、骨料、新型建筑材料等生产企业。当地环保部门验收通过，允许生产的环保达标的资质文件；（环评批复、环评验收报告、排污许可手续），产品符合工业固体废物资源综合利用评价要求，提供工业固体废物资源综合利用评价要求的资料，提供前半年的进销台账、发票，至少有CMA标志的第三方检验报告。</w:t>
      </w:r>
    </w:p>
    <w:p w14:paraId="5D637635">
      <w:pPr>
        <w:widowControl/>
        <w:spacing w:line="440" w:lineRule="exact"/>
        <w:ind w:firstLine="560" w:firstLineChars="200"/>
        <w:jc w:val="left"/>
        <w:rPr>
          <w:rFonts w:hint="eastAsia" w:ascii="宋体" w:hAnsi="宋体" w:cs="宋体"/>
          <w:sz w:val="28"/>
          <w:szCs w:val="28"/>
        </w:rPr>
      </w:pPr>
      <w:r>
        <w:rPr>
          <w:rFonts w:hint="eastAsia" w:ascii="宋体" w:hAnsi="宋体" w:cs="宋体"/>
          <w:sz w:val="28"/>
          <w:szCs w:val="28"/>
        </w:rPr>
        <w:t>以上证件均需加盖单位行政章，拍照上传至竞价平台（东方钢铁在线）进行审核。安钢集团本部及永通公司原合格经销商可直接入围。严格禁止同一实际控制人以不同法人或互为法人的名义同时参与同一品种的竞价；严格禁止互为“董监高”或者相互持股的客户同时参与同一品种的竞价；严格禁止安钢集团相关规定中明令禁止的相关人员和相关单位参与竞价产品的经营业务。违反此项要求的竞标单位，安钢将对其互为法人的单位，互为“董监高”、高管或者相互持股的单位进行永久性禁入，并按规定进行处罚。</w:t>
      </w:r>
    </w:p>
    <w:p w14:paraId="62864E0C">
      <w:pPr>
        <w:spacing w:line="440" w:lineRule="exact"/>
        <w:ind w:firstLine="562" w:firstLineChars="200"/>
        <w:rPr>
          <w:rFonts w:hint="eastAsia" w:ascii="宋体" w:hAnsi="宋体" w:cs="宋体"/>
          <w:sz w:val="28"/>
          <w:szCs w:val="28"/>
        </w:rPr>
      </w:pPr>
      <w:r>
        <w:rPr>
          <w:rFonts w:hint="eastAsia" w:ascii="宋体" w:hAnsi="宋体" w:cs="宋体"/>
          <w:b/>
          <w:bCs/>
          <w:sz w:val="28"/>
          <w:szCs w:val="28"/>
        </w:rPr>
        <w:t>三、报价要求</w:t>
      </w:r>
    </w:p>
    <w:p w14:paraId="5E75BAF8">
      <w:pPr>
        <w:spacing w:line="440" w:lineRule="exact"/>
        <w:ind w:firstLine="562" w:firstLineChars="200"/>
        <w:rPr>
          <w:rFonts w:hint="eastAsia" w:ascii="宋体" w:hAnsi="宋体" w:cs="宋体"/>
          <w:b/>
          <w:bCs/>
          <w:color w:val="FF0000"/>
          <w:sz w:val="28"/>
          <w:szCs w:val="28"/>
        </w:rPr>
      </w:pPr>
      <w:bookmarkStart w:id="0" w:name="_Hlk7446111"/>
      <w:r>
        <w:rPr>
          <w:rFonts w:hint="eastAsia" w:ascii="宋体" w:hAnsi="宋体" w:cs="宋体"/>
          <w:b/>
          <w:bCs/>
          <w:color w:val="FF0000"/>
          <w:sz w:val="28"/>
          <w:szCs w:val="28"/>
        </w:rPr>
        <w:t>底价按公告内容执行。</w:t>
      </w:r>
    </w:p>
    <w:p w14:paraId="02F4BC32">
      <w:pPr>
        <w:spacing w:line="440" w:lineRule="exact"/>
        <w:ind w:firstLine="562" w:firstLineChars="200"/>
        <w:rPr>
          <w:rFonts w:hint="eastAsia" w:ascii="宋体" w:hAnsi="宋体" w:cs="宋体"/>
          <w:b/>
          <w:bCs/>
          <w:sz w:val="28"/>
          <w:szCs w:val="28"/>
        </w:rPr>
      </w:pPr>
      <w:r>
        <w:rPr>
          <w:rFonts w:hint="eastAsia" w:ascii="宋体" w:hAnsi="宋体" w:cs="宋体"/>
          <w:b/>
          <w:bCs/>
          <w:sz w:val="28"/>
          <w:szCs w:val="28"/>
        </w:rPr>
        <w:t>四、成交原则：</w:t>
      </w:r>
    </w:p>
    <w:bookmarkEnd w:id="0"/>
    <w:p w14:paraId="4685B7B9">
      <w:pPr>
        <w:spacing w:line="440" w:lineRule="exact"/>
        <w:ind w:firstLine="560" w:firstLineChars="200"/>
        <w:rPr>
          <w:rFonts w:hint="eastAsia" w:ascii="宋体" w:hAnsi="宋体" w:cs="宋体"/>
          <w:sz w:val="28"/>
          <w:szCs w:val="28"/>
        </w:rPr>
      </w:pPr>
      <w:r>
        <w:rPr>
          <w:rFonts w:hint="eastAsia" w:ascii="宋体" w:hAnsi="宋体" w:cs="宋体"/>
          <w:sz w:val="28"/>
          <w:szCs w:val="28"/>
        </w:rPr>
        <w:t>竞价实行网上竞价，公开增价，水渣产品每次加价阶梯为0.1元及0.1元的倍数，成交价格以最终竞价价格为准。竞标底价和加价均为含税现汇价，实际结算价格为含税现汇价。</w:t>
      </w:r>
    </w:p>
    <w:p w14:paraId="35470C17">
      <w:pPr>
        <w:spacing w:line="440" w:lineRule="exact"/>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FF0000"/>
          <w:sz w:val="28"/>
          <w:szCs w:val="28"/>
        </w:rPr>
        <w:t>执行1家中标，最多允许2家跟标制。</w:t>
      </w:r>
      <w:r>
        <w:rPr>
          <w:rFonts w:hint="eastAsia" w:ascii="宋体" w:hAnsi="宋体" w:cs="宋体"/>
          <w:color w:val="000000" w:themeColor="text1"/>
          <w:sz w:val="28"/>
          <w:szCs w:val="28"/>
          <w14:textFill>
            <w14:solidFill>
              <w14:schemeClr w14:val="tx1"/>
            </w14:solidFill>
          </w14:textFill>
        </w:rPr>
        <w:t>以竞价最高价为合同价，报价最高的买受人首先中标，成为第一中标人，第二、第三…高报价人依次享有第二、第三…优先跟标权，以竞价最高价签订产品购销合同。壹：最高价与第二高价中标价格相差5元及5元以上，最高价的中标人后的跟标人自由跟标。贰：第二高价与最高价中标价格相差5元以下，第二高价的跟标人必须跟标，其中第三高价与最高价中标价格相差5元以上，第二高价的跟标人后的跟标人自由跟标，第三高价与最高价中标价格相差5元以下，第三高价的跟标人必须跟标。具体中标原则以正式公告为准。</w:t>
      </w:r>
    </w:p>
    <w:p w14:paraId="1CFB07F3">
      <w:pPr>
        <w:spacing w:line="440" w:lineRule="exact"/>
        <w:ind w:firstLine="560" w:firstLineChars="200"/>
        <w:rPr>
          <w:rFonts w:hint="eastAsia" w:ascii="宋体" w:hAnsi="宋体" w:cs="宋体"/>
          <w:sz w:val="28"/>
          <w:szCs w:val="28"/>
        </w:rPr>
      </w:pPr>
      <w:r>
        <w:rPr>
          <w:rFonts w:hint="eastAsia" w:ascii="宋体" w:hAnsi="宋体" w:cs="宋体"/>
          <w:sz w:val="28"/>
          <w:szCs w:val="28"/>
        </w:rPr>
        <w:t>竞价结束后竞价人员对竞价结果进行评审，满足竞价技术、商务各项要求，排序第一者为成交经销商。如出价家数不足三家，按照安钢集团公司相关规定要求执行。</w:t>
      </w:r>
    </w:p>
    <w:p w14:paraId="656CBD22">
      <w:pPr>
        <w:spacing w:line="440" w:lineRule="exact"/>
        <w:jc w:val="left"/>
        <w:rPr>
          <w:rFonts w:hint="eastAsia" w:ascii="宋体" w:hAnsi="宋体" w:cs="宋体"/>
          <w:sz w:val="28"/>
          <w:szCs w:val="28"/>
        </w:rPr>
      </w:pPr>
      <w:r>
        <w:rPr>
          <w:rFonts w:hint="eastAsia" w:ascii="宋体" w:hAnsi="宋体" w:cs="宋体"/>
          <w:sz w:val="28"/>
          <w:szCs w:val="28"/>
        </w:rPr>
        <w:t>1、中标单位不得拒签合同，如中标后反悔，则视为违约，成为事实上的弃标，竞价保证金将作为违约金不予返还，终止其参标资格，同时取消其合格经销商资格。</w:t>
      </w:r>
    </w:p>
    <w:p w14:paraId="17A0A29C">
      <w:pPr>
        <w:spacing w:line="440" w:lineRule="exact"/>
        <w:jc w:val="left"/>
        <w:rPr>
          <w:rFonts w:hint="eastAsia" w:ascii="宋体" w:hAnsi="宋体" w:cs="宋体"/>
          <w:sz w:val="28"/>
          <w:szCs w:val="28"/>
        </w:rPr>
      </w:pPr>
      <w:r>
        <w:rPr>
          <w:rFonts w:hint="eastAsia" w:ascii="宋体" w:hAnsi="宋体" w:cs="宋体"/>
          <w:sz w:val="28"/>
          <w:szCs w:val="28"/>
        </w:rPr>
        <w:t>2、水渣产品竞标过程中，已明确中标、跟标客户数量时，竞标过程中已加价，其具备跟标条件后，却放弃跟标资格，与弃标同等处理，同时取消其合格经销商资格。</w:t>
      </w:r>
    </w:p>
    <w:p w14:paraId="088B0BAC">
      <w:pPr>
        <w:spacing w:line="440" w:lineRule="exact"/>
        <w:jc w:val="left"/>
        <w:rPr>
          <w:rFonts w:hint="eastAsia" w:ascii="宋体" w:hAnsi="宋体" w:cs="宋体"/>
          <w:sz w:val="28"/>
          <w:szCs w:val="28"/>
        </w:rPr>
      </w:pPr>
      <w:r>
        <w:rPr>
          <w:rFonts w:hint="eastAsia" w:ascii="宋体" w:hAnsi="宋体" w:cs="宋体"/>
          <w:sz w:val="28"/>
          <w:szCs w:val="28"/>
        </w:rPr>
        <w:t>3、交款必须采用公对公转账方式，不接受个人或其他单位账户转款，由此产生的影响生产或其他损失的情形，由客户负责。</w:t>
      </w:r>
    </w:p>
    <w:p w14:paraId="482459B4">
      <w:pPr>
        <w:spacing w:line="440" w:lineRule="exact"/>
        <w:ind w:firstLine="562" w:firstLineChars="200"/>
        <w:rPr>
          <w:rFonts w:hint="eastAsia" w:ascii="宋体" w:hAnsi="宋体" w:cs="宋体"/>
          <w:b/>
          <w:bCs/>
          <w:sz w:val="28"/>
          <w:szCs w:val="28"/>
        </w:rPr>
      </w:pPr>
      <w:r>
        <w:rPr>
          <w:rFonts w:hint="eastAsia" w:ascii="宋体" w:hAnsi="宋体" w:cs="宋体"/>
          <w:b/>
          <w:bCs/>
          <w:sz w:val="28"/>
          <w:szCs w:val="28"/>
        </w:rPr>
        <w:t>五、费用</w:t>
      </w:r>
    </w:p>
    <w:p w14:paraId="671E6894">
      <w:pPr>
        <w:widowControl/>
        <w:spacing w:line="440" w:lineRule="exact"/>
        <w:ind w:firstLine="560" w:firstLineChars="200"/>
        <w:jc w:val="left"/>
        <w:rPr>
          <w:rFonts w:hint="eastAsia" w:ascii="宋体" w:hAnsi="宋体" w:cs="宋体"/>
          <w:color w:val="000000"/>
          <w:kern w:val="0"/>
          <w:sz w:val="28"/>
          <w:szCs w:val="28"/>
        </w:rPr>
      </w:pPr>
      <w:r>
        <w:rPr>
          <w:rFonts w:hint="eastAsia" w:ascii="宋体" w:hAnsi="宋体" w:cs="宋体"/>
          <w:color w:val="000000"/>
          <w:kern w:val="0"/>
          <w:sz w:val="28"/>
          <w:szCs w:val="28"/>
        </w:rPr>
        <w:t>参与竞价的单位于</w:t>
      </w:r>
      <w:r>
        <w:rPr>
          <w:rFonts w:hint="eastAsia" w:ascii="宋体" w:hAnsi="宋体" w:cs="宋体"/>
          <w:kern w:val="0"/>
          <w:sz w:val="28"/>
          <w:szCs w:val="28"/>
        </w:rPr>
        <w:t>交款截止时间前</w:t>
      </w:r>
      <w:r>
        <w:rPr>
          <w:rFonts w:hint="eastAsia" w:ascii="宋体" w:hAnsi="宋体" w:cs="宋体"/>
          <w:color w:val="000000"/>
          <w:kern w:val="0"/>
          <w:sz w:val="28"/>
          <w:szCs w:val="28"/>
        </w:rPr>
        <w:t>，向安钢周口钢铁公司交纳50万元的竞价保证金（不计利息），水渣账面上应有15万元以上的预付货款(不计利息），备注：安钢周口钢铁公司购水渣款。</w:t>
      </w:r>
    </w:p>
    <w:p w14:paraId="2789B981">
      <w:pPr>
        <w:widowControl/>
        <w:spacing w:line="440" w:lineRule="exact"/>
        <w:ind w:firstLine="560" w:firstLineChars="200"/>
        <w:jc w:val="left"/>
        <w:rPr>
          <w:rFonts w:hint="eastAsia" w:ascii="宋体" w:hAnsi="宋体" w:cs="宋体"/>
          <w:color w:val="000000"/>
          <w:kern w:val="0"/>
          <w:sz w:val="28"/>
          <w:szCs w:val="28"/>
        </w:rPr>
      </w:pPr>
      <w:r>
        <w:rPr>
          <w:rFonts w:hint="eastAsia" w:ascii="宋体" w:hAnsi="宋体" w:cs="宋体"/>
          <w:color w:val="000000"/>
          <w:kern w:val="0"/>
          <w:sz w:val="28"/>
          <w:szCs w:val="28"/>
        </w:rPr>
        <w:t>单位名称：河南安钢周口钢铁有限责任公司</w:t>
      </w:r>
    </w:p>
    <w:p w14:paraId="7606FBFE">
      <w:pPr>
        <w:widowControl/>
        <w:spacing w:line="440" w:lineRule="exact"/>
        <w:ind w:left="2239" w:leftChars="266" w:hanging="1680" w:hangingChars="600"/>
        <w:jc w:val="left"/>
        <w:rPr>
          <w:rFonts w:hint="eastAsia" w:ascii="宋体" w:hAnsi="宋体" w:cs="宋体"/>
          <w:color w:val="000000"/>
          <w:kern w:val="0"/>
          <w:sz w:val="28"/>
          <w:szCs w:val="28"/>
        </w:rPr>
      </w:pPr>
      <w:r>
        <w:rPr>
          <w:rFonts w:hint="eastAsia" w:ascii="宋体" w:hAnsi="宋体" w:cs="宋体"/>
          <w:color w:val="000000"/>
          <w:kern w:val="0"/>
          <w:sz w:val="28"/>
          <w:szCs w:val="28"/>
        </w:rPr>
        <w:t>银行账号：中国建设银行股份有限公司沈丘支行41050170650800000774</w:t>
      </w:r>
    </w:p>
    <w:p w14:paraId="0D6C4BAE">
      <w:pPr>
        <w:numPr>
          <w:ilvl w:val="0"/>
          <w:numId w:val="1"/>
        </w:numPr>
        <w:spacing w:line="440" w:lineRule="exact"/>
        <w:ind w:firstLine="562" w:firstLineChars="200"/>
        <w:rPr>
          <w:rFonts w:hint="eastAsia" w:ascii="宋体" w:hAnsi="宋体" w:cs="宋体"/>
          <w:b/>
          <w:bCs/>
          <w:sz w:val="28"/>
          <w:szCs w:val="28"/>
        </w:rPr>
      </w:pPr>
      <w:r>
        <w:rPr>
          <w:rFonts w:hint="eastAsia" w:ascii="宋体" w:hAnsi="宋体" w:cs="宋体"/>
          <w:b/>
          <w:bCs/>
          <w:sz w:val="28"/>
          <w:szCs w:val="28"/>
        </w:rPr>
        <w:t>主要合同条款</w:t>
      </w:r>
    </w:p>
    <w:p w14:paraId="53543C25">
      <w:pPr>
        <w:keepNext w:val="0"/>
        <w:keepLines w:val="0"/>
        <w:pageBreakBefore w:val="0"/>
        <w:widowControl w:val="0"/>
        <w:tabs>
          <w:tab w:val="right" w:pos="8528"/>
        </w:tabs>
        <w:kinsoku/>
        <w:wordWrap/>
        <w:overflowPunct/>
        <w:topLinePunct w:val="0"/>
        <w:autoSpaceDE/>
        <w:autoSpaceDN/>
        <w:bidi w:val="0"/>
        <w:adjustRightInd/>
        <w:snapToGrid/>
        <w:spacing w:before="0" w:after="0" w:line="440" w:lineRule="exact"/>
        <w:ind w:right="0"/>
        <w:jc w:val="left"/>
        <w:textAlignment w:val="auto"/>
        <w:rPr>
          <w:rFonts w:hint="eastAsia" w:ascii="宋体" w:hAnsi="宋体" w:eastAsia="宋体" w:cs="宋体"/>
          <w:b w:val="0"/>
          <w:bCs w:val="0"/>
          <w:sz w:val="28"/>
          <w:szCs w:val="28"/>
          <w:highlight w:val="none"/>
          <w:lang w:eastAsia="zh-CN"/>
        </w:rPr>
      </w:pPr>
      <w:r>
        <w:rPr>
          <w:rFonts w:hint="eastAsia" w:ascii="宋体" w:hAnsi="宋体" w:cs="宋体"/>
          <w:b w:val="0"/>
          <w:bCs w:val="0"/>
          <w:sz w:val="28"/>
          <w:szCs w:val="28"/>
          <w:highlight w:val="none"/>
          <w:lang w:val="en-US" w:eastAsia="zh-CN"/>
        </w:rPr>
        <w:t xml:space="preserve"> </w:t>
      </w:r>
      <w:r>
        <w:rPr>
          <w:rFonts w:hint="eastAsia" w:ascii="宋体" w:hAnsi="宋体" w:cs="宋体"/>
          <w:b w:val="0"/>
          <w:bCs w:val="0"/>
          <w:sz w:val="28"/>
          <w:szCs w:val="28"/>
          <w:highlight w:val="none"/>
        </w:rPr>
        <w:t>第一条 甲乙双方的责任:</w:t>
      </w:r>
      <w:r>
        <w:rPr>
          <w:rFonts w:hint="eastAsia" w:ascii="宋体" w:hAnsi="宋体" w:cs="宋体"/>
          <w:b w:val="0"/>
          <w:bCs w:val="0"/>
          <w:sz w:val="28"/>
          <w:szCs w:val="28"/>
          <w:highlight w:val="none"/>
          <w:lang w:eastAsia="zh-CN"/>
        </w:rPr>
        <w:tab/>
      </w:r>
    </w:p>
    <w:p w14:paraId="6704F9FF">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1、甲方出售的</w:t>
      </w:r>
      <w:r>
        <w:rPr>
          <w:rFonts w:hint="eastAsia" w:ascii="宋体" w:hAnsi="宋体" w:cs="宋体"/>
          <w:color w:val="000000"/>
          <w:kern w:val="0"/>
          <w:sz w:val="28"/>
          <w:szCs w:val="28"/>
          <w:lang w:val="en-US" w:eastAsia="zh-CN"/>
        </w:rPr>
        <w:t>水</w:t>
      </w:r>
      <w:r>
        <w:rPr>
          <w:rFonts w:hint="eastAsia" w:ascii="宋体" w:hAnsi="宋体" w:cs="宋体"/>
          <w:color w:val="000000"/>
          <w:kern w:val="0"/>
          <w:sz w:val="28"/>
          <w:szCs w:val="28"/>
          <w:lang w:eastAsia="zh-CN"/>
        </w:rPr>
        <w:t>渣</w:t>
      </w:r>
      <w:r>
        <w:rPr>
          <w:rFonts w:hint="eastAsia" w:ascii="宋体" w:hAnsi="宋体" w:cs="宋体"/>
          <w:color w:val="000000"/>
          <w:kern w:val="0"/>
          <w:sz w:val="28"/>
          <w:szCs w:val="28"/>
        </w:rPr>
        <w:t>没有</w:t>
      </w:r>
      <w:r>
        <w:rPr>
          <w:rFonts w:hint="eastAsia" w:ascii="宋体" w:hAnsi="宋体" w:cs="宋体"/>
          <w:color w:val="000000"/>
          <w:kern w:val="0"/>
          <w:sz w:val="28"/>
          <w:szCs w:val="28"/>
          <w:lang w:val="en-US" w:eastAsia="zh-CN"/>
        </w:rPr>
        <w:t>成分</w:t>
      </w:r>
      <w:r>
        <w:rPr>
          <w:rFonts w:hint="eastAsia" w:ascii="宋体" w:hAnsi="宋体" w:cs="宋体"/>
          <w:color w:val="000000"/>
          <w:kern w:val="0"/>
          <w:sz w:val="28"/>
          <w:szCs w:val="28"/>
        </w:rPr>
        <w:t>单、质量保证书,甲方不给予任何质量方面的担保或保证，无售后。</w:t>
      </w:r>
    </w:p>
    <w:p w14:paraId="26D3892F">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2、如遇国家有关政策规定变化或上级主管部门行政命令与本合同有冲突时,甲方有权及时终止本合同并告知乙方。</w:t>
      </w:r>
    </w:p>
    <w:p w14:paraId="1A300EBC">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lang w:val="en-US" w:eastAsia="zh-CN"/>
        </w:rPr>
      </w:pPr>
      <w:r>
        <w:rPr>
          <w:rFonts w:hint="eastAsia" w:ascii="宋体" w:hAnsi="宋体" w:cs="宋体"/>
          <w:color w:val="000000"/>
          <w:kern w:val="0"/>
          <w:sz w:val="28"/>
          <w:szCs w:val="28"/>
        </w:rPr>
        <w:t>3 、乙方必须遵守国家有关于环保、安全、环境等方面的法律、法规。如发现有违规现象,甲方有权终止本合同,并由乙方承担相关责任。</w:t>
      </w:r>
      <w:r>
        <w:rPr>
          <w:rFonts w:hint="eastAsia" w:ascii="宋体" w:hAnsi="宋体" w:cs="宋体"/>
          <w:color w:val="000000"/>
          <w:kern w:val="0"/>
          <w:sz w:val="28"/>
          <w:szCs w:val="28"/>
          <w:lang w:val="en-US" w:eastAsia="zh-CN"/>
        </w:rPr>
        <w:t xml:space="preserve">  </w:t>
      </w:r>
    </w:p>
    <w:p w14:paraId="7FC105B4">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lang w:val="en-US" w:eastAsia="zh-CN"/>
        </w:rPr>
      </w:pPr>
      <w:r>
        <w:rPr>
          <w:rFonts w:hint="eastAsia" w:ascii="宋体" w:hAnsi="宋体" w:eastAsia="宋体" w:cs="宋体"/>
          <w:color w:val="000000"/>
          <w:kern w:val="0"/>
          <w:sz w:val="28"/>
          <w:szCs w:val="28"/>
          <w:lang w:val="en-US" w:eastAsia="zh-CN" w:bidi="ar-SA"/>
        </w:rPr>
        <w:t>4、</w:t>
      </w:r>
      <w:r>
        <w:rPr>
          <w:rFonts w:hint="eastAsia" w:ascii="宋体" w:hAnsi="宋体" w:cs="宋体"/>
          <w:color w:val="000000"/>
          <w:kern w:val="0"/>
          <w:sz w:val="28"/>
          <w:szCs w:val="28"/>
          <w:lang w:val="en-US" w:eastAsia="zh-CN"/>
        </w:rPr>
        <w:t>乙方必须与河南安钢物流有限公司周口分公司签订车辆运输服务合同，(原则上50公里以内的)采用电动重卡提货运输，且必须严格按照标载进行装车。购销全过程中乙方应严格遵守甲方在安全、环保、交通运输、现场管理等方面的规定。因乙方违规带来的一切后果，由乙方负责处理并承担全部费用，并全额扣除乙方所有保证金。河南安钢物流有限公司周口分公司电动卡车运输服务费用参见附表1。</w:t>
      </w:r>
    </w:p>
    <w:p w14:paraId="6F193A30">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 xml:space="preserve">5、乙方（购货方）为钢渣、水渣固废实际利用主体，需严格遵守生态环境、税务、工信部门各项监管要求，按时、真实、完整提交固废综合利用所需全部报备、核查资料，必备资料包括CMA第三方检测报告、月度完整固废进销台账及主管部门要求的其他佐证材料，确保资料真实有效、数据可追溯，严禁伪造、篡改、缺漏、逾期报送。若因乙方资料报送滞后、资料缺失不实、自身生产经营不合规、未按要求完成固废综合利用评价备案等乙方全责问题，导致我方被税务部门计征固体废物环境保护税、产生滞纳金、遭受行政处罚，或产生律师费、咨询费、差旅费等一切维权及经济损失，所有直接、间接损失均由乙方无条件全额承担补足。乙方需在我方出具损失核定凭证后7个工作日内足额赔付全部款项，逾期未支付的，按应付未付金额每日万分之五支付违约金。                                                                                 </w:t>
      </w:r>
    </w:p>
    <w:p w14:paraId="0D4F2B01">
      <w:pPr>
        <w:keepNext w:val="0"/>
        <w:keepLines w:val="0"/>
        <w:pageBreakBefore w:val="0"/>
        <w:widowControl/>
        <w:numPr>
          <w:ilvl w:val="0"/>
          <w:numId w:val="2"/>
        </w:numPr>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lang w:eastAsia="zh-CN"/>
        </w:rPr>
        <w:t>结算方式、</w:t>
      </w:r>
      <w:r>
        <w:rPr>
          <w:rFonts w:hint="eastAsia" w:ascii="宋体" w:hAnsi="宋体" w:cs="宋体"/>
          <w:color w:val="000000"/>
          <w:kern w:val="0"/>
          <w:sz w:val="28"/>
          <w:szCs w:val="28"/>
          <w:lang w:val="en-US" w:eastAsia="zh-CN"/>
        </w:rPr>
        <w:t>期限</w:t>
      </w:r>
      <w:r>
        <w:rPr>
          <w:rFonts w:hint="eastAsia" w:ascii="宋体" w:hAnsi="宋体" w:cs="宋体"/>
          <w:color w:val="000000"/>
          <w:kern w:val="0"/>
          <w:sz w:val="28"/>
          <w:szCs w:val="28"/>
        </w:rPr>
        <w:t>:</w:t>
      </w:r>
    </w:p>
    <w:p w14:paraId="090BF032">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1</w:t>
      </w:r>
      <w:r>
        <w:rPr>
          <w:rFonts w:hint="eastAsia" w:ascii="宋体" w:hAnsi="宋体" w:cs="宋体"/>
          <w:color w:val="000000"/>
          <w:kern w:val="0"/>
          <w:sz w:val="28"/>
          <w:szCs w:val="28"/>
        </w:rPr>
        <w:t>、本批</w:t>
      </w:r>
      <w:r>
        <w:rPr>
          <w:rFonts w:hint="eastAsia" w:ascii="宋体" w:hAnsi="宋体" w:cs="宋体"/>
          <w:color w:val="000000"/>
          <w:kern w:val="0"/>
          <w:sz w:val="28"/>
          <w:szCs w:val="28"/>
          <w:lang w:val="en-US" w:eastAsia="zh-CN"/>
        </w:rPr>
        <w:t>水</w:t>
      </w:r>
      <w:r>
        <w:rPr>
          <w:rFonts w:hint="eastAsia" w:ascii="宋体" w:hAnsi="宋体" w:cs="宋体"/>
          <w:color w:val="000000"/>
          <w:kern w:val="0"/>
          <w:sz w:val="28"/>
          <w:szCs w:val="28"/>
          <w:lang w:eastAsia="zh-CN"/>
        </w:rPr>
        <w:t>渣</w:t>
      </w:r>
      <w:r>
        <w:rPr>
          <w:rFonts w:hint="eastAsia" w:ascii="宋体" w:hAnsi="宋体" w:cs="宋体"/>
          <w:color w:val="000000"/>
          <w:kern w:val="0"/>
          <w:sz w:val="28"/>
          <w:szCs w:val="28"/>
        </w:rPr>
        <w:t>按吨计量、计价,乙方不能进行扣杂</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扣水</w:t>
      </w:r>
      <w:r>
        <w:rPr>
          <w:rFonts w:hint="eastAsia" w:ascii="宋体" w:hAnsi="宋体" w:cs="宋体"/>
          <w:color w:val="000000"/>
          <w:kern w:val="0"/>
          <w:sz w:val="28"/>
          <w:szCs w:val="28"/>
        </w:rPr>
        <w:t>。计量</w:t>
      </w:r>
      <w:r>
        <w:rPr>
          <w:rFonts w:hint="eastAsia" w:ascii="宋体" w:hAnsi="宋体" w:cs="宋体"/>
          <w:color w:val="000000"/>
          <w:kern w:val="0"/>
          <w:sz w:val="28"/>
          <w:szCs w:val="28"/>
          <w:lang w:val="en-US" w:eastAsia="zh-CN"/>
        </w:rPr>
        <w:t>以甲方过磅为准</w:t>
      </w:r>
      <w:r>
        <w:rPr>
          <w:rFonts w:hint="eastAsia" w:ascii="宋体" w:hAnsi="宋体" w:cs="宋体"/>
          <w:color w:val="000000"/>
          <w:kern w:val="0"/>
          <w:sz w:val="28"/>
          <w:szCs w:val="28"/>
        </w:rPr>
        <w:t>。</w:t>
      </w:r>
    </w:p>
    <w:p w14:paraId="4C4CD825">
      <w:pPr>
        <w:keepNext w:val="0"/>
        <w:keepLines w:val="0"/>
        <w:pageBreakBefore w:val="0"/>
        <w:kinsoku/>
        <w:wordWrap/>
        <w:overflowPunct/>
        <w:topLinePunct w:val="0"/>
        <w:autoSpaceDE/>
        <w:autoSpaceDN/>
        <w:bidi w:val="0"/>
        <w:adjustRightInd/>
        <w:snapToGrid/>
        <w:spacing w:line="440" w:lineRule="exact"/>
        <w:ind w:firstLine="560" w:firstLineChars="200"/>
        <w:textAlignment w:val="auto"/>
        <w:rPr>
          <w:rFonts w:hint="eastAsia" w:ascii="宋体" w:hAnsi="宋体" w:cs="宋体"/>
          <w:color w:val="000000"/>
          <w:kern w:val="0"/>
          <w:sz w:val="28"/>
          <w:szCs w:val="28"/>
        </w:rPr>
      </w:pPr>
      <w:r>
        <w:rPr>
          <w:rFonts w:hint="eastAsia" w:ascii="宋体" w:hAnsi="宋体" w:cs="宋体"/>
          <w:bCs/>
          <w:sz w:val="28"/>
          <w:szCs w:val="28"/>
          <w:highlight w:val="none"/>
          <w:lang w:val="en-US" w:eastAsia="zh-CN"/>
        </w:rPr>
        <w:t>2、</w:t>
      </w:r>
      <w:r>
        <w:rPr>
          <w:rFonts w:hint="eastAsia" w:ascii="宋体" w:hAnsi="宋体" w:cs="宋体"/>
          <w:bCs/>
          <w:sz w:val="28"/>
          <w:szCs w:val="28"/>
          <w:highlight w:val="none"/>
          <w:lang w:eastAsia="zh-CN"/>
        </w:rPr>
        <w:t>先款后货，</w:t>
      </w:r>
      <w:r>
        <w:rPr>
          <w:rFonts w:hint="eastAsia" w:ascii="宋体" w:hAnsi="宋体" w:cs="宋体"/>
          <w:bCs/>
          <w:sz w:val="28"/>
          <w:szCs w:val="28"/>
          <w:highlight w:val="none"/>
        </w:rPr>
        <w:t>银行转账汇款</w:t>
      </w:r>
      <w:r>
        <w:rPr>
          <w:rFonts w:hint="eastAsia" w:ascii="宋体" w:hAnsi="宋体" w:cs="宋体"/>
          <w:bCs/>
          <w:sz w:val="28"/>
          <w:szCs w:val="28"/>
          <w:highlight w:val="none"/>
          <w:lang w:val="en-US" w:eastAsia="zh-CN"/>
        </w:rPr>
        <w:t>(按周钢公司财务政策执行）</w:t>
      </w:r>
      <w:r>
        <w:rPr>
          <w:rFonts w:hint="eastAsia" w:ascii="宋体" w:hAnsi="宋体" w:cs="宋体"/>
          <w:bCs/>
          <w:sz w:val="28"/>
          <w:szCs w:val="28"/>
          <w:highlight w:val="none"/>
        </w:rPr>
        <w:t>。</w:t>
      </w:r>
      <w:r>
        <w:rPr>
          <w:rFonts w:hint="eastAsia" w:ascii="宋体" w:hAnsi="宋体" w:eastAsia="宋体" w:cs="宋体"/>
          <w:color w:val="000000"/>
          <w:kern w:val="0"/>
          <w:sz w:val="28"/>
          <w:szCs w:val="28"/>
        </w:rPr>
        <w:t>结算价格为含税现汇价</w:t>
      </w:r>
      <w:r>
        <w:rPr>
          <w:rFonts w:hint="eastAsia" w:ascii="宋体" w:hAnsi="宋体" w:cs="宋体"/>
          <w:color w:val="000000"/>
          <w:kern w:val="0"/>
          <w:sz w:val="28"/>
          <w:szCs w:val="28"/>
          <w:lang w:val="en-US" w:eastAsia="zh-CN"/>
        </w:rPr>
        <w:t>,</w:t>
      </w:r>
      <w:r>
        <w:rPr>
          <w:rFonts w:hint="eastAsia" w:ascii="宋体" w:hAnsi="宋体"/>
          <w:color w:val="000000"/>
          <w:sz w:val="28"/>
          <w:szCs w:val="28"/>
        </w:rPr>
        <w:t>以湿基结算</w:t>
      </w:r>
      <w:r>
        <w:rPr>
          <w:rFonts w:hint="eastAsia" w:ascii="宋体" w:hAnsi="宋体"/>
          <w:color w:val="000000"/>
          <w:sz w:val="28"/>
          <w:szCs w:val="28"/>
          <w:lang w:val="en-US" w:eastAsia="zh-CN"/>
        </w:rPr>
        <w:t>,</w:t>
      </w:r>
      <w:r>
        <w:rPr>
          <w:rFonts w:hint="eastAsia" w:ascii="宋体" w:hAnsi="宋体" w:cs="宋体"/>
          <w:bCs/>
          <w:sz w:val="28"/>
          <w:szCs w:val="28"/>
          <w:highlight w:val="none"/>
        </w:rPr>
        <w:t>甲方按实际</w:t>
      </w:r>
      <w:r>
        <w:rPr>
          <w:rFonts w:hint="eastAsia" w:ascii="宋体" w:hAnsi="宋体" w:cs="宋体"/>
          <w:bCs/>
          <w:sz w:val="28"/>
          <w:szCs w:val="28"/>
          <w:highlight w:val="none"/>
          <w:lang w:eastAsia="zh-CN"/>
        </w:rPr>
        <w:t>数量</w:t>
      </w:r>
      <w:r>
        <w:rPr>
          <w:rFonts w:hint="eastAsia" w:ascii="宋体" w:hAnsi="宋体" w:cs="宋体"/>
          <w:bCs/>
          <w:sz w:val="28"/>
          <w:szCs w:val="28"/>
          <w:highlight w:val="none"/>
        </w:rPr>
        <w:t>结算并开具13%的增值税专用发票</w:t>
      </w:r>
      <w:r>
        <w:rPr>
          <w:rFonts w:hint="eastAsia" w:ascii="宋体" w:hAnsi="宋体" w:cs="宋体"/>
          <w:bCs/>
          <w:sz w:val="28"/>
          <w:szCs w:val="28"/>
          <w:highlight w:val="none"/>
          <w:lang w:eastAsia="zh-CN"/>
        </w:rPr>
        <w:t>。</w:t>
      </w:r>
    </w:p>
    <w:p w14:paraId="3682D9DA">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第三条 提货地点、方式和期限:</w:t>
      </w:r>
    </w:p>
    <w:p w14:paraId="1CC7FB02">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1、提货地点:甲方指定地点。</w:t>
      </w:r>
    </w:p>
    <w:p w14:paraId="26617A44">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2、提货方式:乙方自提。合同签定后,乙方在提货前必须向甲方支付合同价100%的</w:t>
      </w:r>
      <w:r>
        <w:rPr>
          <w:rFonts w:hint="eastAsia" w:ascii="宋体" w:hAnsi="宋体" w:cs="宋体"/>
          <w:color w:val="000000"/>
          <w:kern w:val="0"/>
          <w:sz w:val="28"/>
          <w:szCs w:val="28"/>
          <w:lang w:eastAsia="zh-CN"/>
        </w:rPr>
        <w:t>货</w:t>
      </w:r>
      <w:r>
        <w:rPr>
          <w:rFonts w:hint="eastAsia" w:ascii="宋体" w:hAnsi="宋体" w:cs="宋体"/>
          <w:color w:val="000000"/>
          <w:kern w:val="0"/>
          <w:sz w:val="28"/>
          <w:szCs w:val="28"/>
        </w:rPr>
        <w:t>款,然后提货。甲方财务</w:t>
      </w:r>
      <w:r>
        <w:rPr>
          <w:rFonts w:hint="eastAsia" w:ascii="宋体" w:hAnsi="宋体" w:cs="宋体"/>
          <w:color w:val="000000"/>
          <w:kern w:val="0"/>
          <w:sz w:val="28"/>
          <w:szCs w:val="28"/>
          <w:lang w:val="en-US" w:eastAsia="zh-CN"/>
        </w:rPr>
        <w:t>确认到款后</w:t>
      </w:r>
      <w:r>
        <w:rPr>
          <w:rFonts w:hint="eastAsia" w:ascii="宋体" w:hAnsi="宋体" w:cs="宋体"/>
          <w:color w:val="000000"/>
          <w:kern w:val="0"/>
          <w:sz w:val="28"/>
          <w:szCs w:val="28"/>
        </w:rPr>
        <w:t>,</w:t>
      </w:r>
      <w:r>
        <w:rPr>
          <w:rFonts w:hint="eastAsia" w:ascii="宋体" w:hAnsi="宋体" w:cs="宋体"/>
          <w:color w:val="000000"/>
          <w:kern w:val="0"/>
          <w:sz w:val="28"/>
          <w:szCs w:val="28"/>
          <w:lang w:val="en-US" w:eastAsia="zh-CN"/>
        </w:rPr>
        <w:t>乙方</w:t>
      </w:r>
      <w:r>
        <w:rPr>
          <w:rFonts w:hint="eastAsia" w:ascii="宋体" w:hAnsi="宋体" w:cs="宋体"/>
          <w:color w:val="000000"/>
          <w:kern w:val="0"/>
          <w:sz w:val="28"/>
          <w:szCs w:val="28"/>
        </w:rPr>
        <w:t>按照甲方指定地点提货，提货后并负责清理好现场。</w:t>
      </w:r>
    </w:p>
    <w:p w14:paraId="479606C4">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3 、提货期限:</w:t>
      </w:r>
      <w:r>
        <w:rPr>
          <w:rStyle w:val="7"/>
          <w:rFonts w:hint="default" w:ascii="Arial" w:hAnsi="Arial" w:eastAsia="宋体" w:cs="Arial"/>
          <w:i w:val="0"/>
          <w:iCs w:val="0"/>
          <w:caps w:val="0"/>
          <w:color w:val="FF0000"/>
          <w:spacing w:val="0"/>
          <w:sz w:val="27"/>
          <w:szCs w:val="27"/>
          <w:shd w:val="clear" w:color="auto" w:fill="FFFFFF"/>
        </w:rPr>
        <w:t>202</w:t>
      </w:r>
      <w:r>
        <w:rPr>
          <w:rStyle w:val="7"/>
          <w:rFonts w:hint="eastAsia" w:ascii="Arial" w:hAnsi="Arial" w:cs="Arial"/>
          <w:i w:val="0"/>
          <w:iCs w:val="0"/>
          <w:caps w:val="0"/>
          <w:color w:val="FF0000"/>
          <w:spacing w:val="0"/>
          <w:sz w:val="27"/>
          <w:szCs w:val="27"/>
          <w:shd w:val="clear" w:color="auto" w:fill="FFFFFF"/>
          <w:lang w:val="en-US" w:eastAsia="zh-CN"/>
        </w:rPr>
        <w:t>6</w:t>
      </w:r>
      <w:r>
        <w:rPr>
          <w:rStyle w:val="7"/>
          <w:rFonts w:hint="default" w:ascii="Arial" w:hAnsi="Arial" w:eastAsia="宋体" w:cs="Arial"/>
          <w:i w:val="0"/>
          <w:iCs w:val="0"/>
          <w:caps w:val="0"/>
          <w:color w:val="FF0000"/>
          <w:spacing w:val="0"/>
          <w:sz w:val="27"/>
          <w:szCs w:val="27"/>
          <w:shd w:val="clear" w:color="auto" w:fill="FFFFFF"/>
        </w:rPr>
        <w:t>年</w:t>
      </w:r>
      <w:r>
        <w:rPr>
          <w:rStyle w:val="7"/>
          <w:rFonts w:hint="eastAsia" w:ascii="Arial" w:hAnsi="Arial" w:cs="Arial"/>
          <w:i w:val="0"/>
          <w:iCs w:val="0"/>
          <w:caps w:val="0"/>
          <w:color w:val="FF0000"/>
          <w:spacing w:val="0"/>
          <w:sz w:val="27"/>
          <w:szCs w:val="27"/>
          <w:shd w:val="clear" w:color="auto" w:fill="FFFFFF"/>
          <w:lang w:val="en-US" w:eastAsia="zh-CN"/>
        </w:rPr>
        <w:t>10</w:t>
      </w:r>
      <w:r>
        <w:rPr>
          <w:rStyle w:val="7"/>
          <w:rFonts w:hint="default" w:ascii="Arial" w:hAnsi="Arial" w:eastAsia="宋体" w:cs="Arial"/>
          <w:i w:val="0"/>
          <w:iCs w:val="0"/>
          <w:caps w:val="0"/>
          <w:color w:val="FF0000"/>
          <w:spacing w:val="0"/>
          <w:sz w:val="27"/>
          <w:szCs w:val="27"/>
          <w:shd w:val="clear" w:color="auto" w:fill="FFFFFF"/>
        </w:rPr>
        <w:t>月</w:t>
      </w:r>
      <w:r>
        <w:rPr>
          <w:rStyle w:val="7"/>
          <w:rFonts w:hint="eastAsia" w:ascii="Arial" w:hAnsi="Arial" w:cs="Arial"/>
          <w:i w:val="0"/>
          <w:iCs w:val="0"/>
          <w:caps w:val="0"/>
          <w:color w:val="FF0000"/>
          <w:spacing w:val="0"/>
          <w:sz w:val="27"/>
          <w:szCs w:val="27"/>
          <w:shd w:val="clear" w:color="auto" w:fill="FFFFFF"/>
          <w:lang w:val="en-US" w:eastAsia="zh-CN"/>
        </w:rPr>
        <w:t>11</w:t>
      </w:r>
      <w:r>
        <w:rPr>
          <w:rStyle w:val="7"/>
          <w:rFonts w:hint="default" w:ascii="Arial" w:hAnsi="Arial" w:eastAsia="宋体" w:cs="Arial"/>
          <w:i w:val="0"/>
          <w:iCs w:val="0"/>
          <w:caps w:val="0"/>
          <w:color w:val="FF0000"/>
          <w:spacing w:val="0"/>
          <w:sz w:val="27"/>
          <w:szCs w:val="27"/>
          <w:shd w:val="clear" w:color="auto" w:fill="FFFFFF"/>
        </w:rPr>
        <w:t>日零时-202</w:t>
      </w:r>
      <w:r>
        <w:rPr>
          <w:rStyle w:val="7"/>
          <w:rFonts w:hint="eastAsia" w:ascii="Arial" w:hAnsi="Arial" w:cs="Arial"/>
          <w:i w:val="0"/>
          <w:iCs w:val="0"/>
          <w:caps w:val="0"/>
          <w:color w:val="FF0000"/>
          <w:spacing w:val="0"/>
          <w:sz w:val="27"/>
          <w:szCs w:val="27"/>
          <w:shd w:val="clear" w:color="auto" w:fill="FFFFFF"/>
          <w:lang w:val="en-US" w:eastAsia="zh-CN"/>
        </w:rPr>
        <w:t>6</w:t>
      </w:r>
      <w:r>
        <w:rPr>
          <w:rStyle w:val="7"/>
          <w:rFonts w:hint="default" w:ascii="Arial" w:hAnsi="Arial" w:eastAsia="宋体" w:cs="Arial"/>
          <w:i w:val="0"/>
          <w:iCs w:val="0"/>
          <w:caps w:val="0"/>
          <w:color w:val="FF0000"/>
          <w:spacing w:val="0"/>
          <w:sz w:val="27"/>
          <w:szCs w:val="27"/>
          <w:shd w:val="clear" w:color="auto" w:fill="FFFFFF"/>
        </w:rPr>
        <w:t>年</w:t>
      </w:r>
      <w:r>
        <w:rPr>
          <w:rStyle w:val="7"/>
          <w:rFonts w:hint="eastAsia" w:ascii="Arial" w:hAnsi="Arial" w:cs="Arial"/>
          <w:i w:val="0"/>
          <w:iCs w:val="0"/>
          <w:caps w:val="0"/>
          <w:color w:val="FF0000"/>
          <w:spacing w:val="0"/>
          <w:sz w:val="27"/>
          <w:szCs w:val="27"/>
          <w:shd w:val="clear" w:color="auto" w:fill="FFFFFF"/>
          <w:lang w:val="en-US" w:eastAsia="zh-CN"/>
        </w:rPr>
        <w:t>10</w:t>
      </w:r>
      <w:r>
        <w:rPr>
          <w:rStyle w:val="7"/>
          <w:rFonts w:hint="default" w:ascii="Arial" w:hAnsi="Arial" w:eastAsia="宋体" w:cs="Arial"/>
          <w:i w:val="0"/>
          <w:iCs w:val="0"/>
          <w:caps w:val="0"/>
          <w:color w:val="FF0000"/>
          <w:spacing w:val="0"/>
          <w:sz w:val="27"/>
          <w:szCs w:val="27"/>
          <w:shd w:val="clear" w:color="auto" w:fill="FFFFFF"/>
        </w:rPr>
        <w:t>月</w:t>
      </w:r>
      <w:r>
        <w:rPr>
          <w:rStyle w:val="7"/>
          <w:rFonts w:hint="eastAsia" w:ascii="Arial" w:hAnsi="Arial" w:cs="Arial"/>
          <w:i w:val="0"/>
          <w:iCs w:val="0"/>
          <w:caps w:val="0"/>
          <w:color w:val="FF0000"/>
          <w:spacing w:val="0"/>
          <w:sz w:val="27"/>
          <w:szCs w:val="27"/>
          <w:shd w:val="clear" w:color="auto" w:fill="FFFFFF"/>
          <w:lang w:val="en-US" w:eastAsia="zh-CN"/>
        </w:rPr>
        <w:t>30</w:t>
      </w:r>
      <w:r>
        <w:rPr>
          <w:rStyle w:val="7"/>
          <w:rFonts w:hint="default" w:ascii="Arial" w:hAnsi="Arial" w:eastAsia="宋体" w:cs="Arial"/>
          <w:i w:val="0"/>
          <w:iCs w:val="0"/>
          <w:caps w:val="0"/>
          <w:color w:val="FF0000"/>
          <w:spacing w:val="0"/>
          <w:sz w:val="27"/>
          <w:szCs w:val="27"/>
          <w:shd w:val="clear" w:color="auto" w:fill="FFFFFF"/>
        </w:rPr>
        <w:t>日24</w:t>
      </w:r>
      <w:r>
        <w:rPr>
          <w:rStyle w:val="7"/>
          <w:rFonts w:hint="eastAsia" w:ascii="Arial" w:hAnsi="Arial" w:cs="Arial"/>
          <w:i w:val="0"/>
          <w:iCs w:val="0"/>
          <w:caps w:val="0"/>
          <w:color w:val="FF0000"/>
          <w:spacing w:val="0"/>
          <w:sz w:val="27"/>
          <w:szCs w:val="27"/>
          <w:shd w:val="clear" w:color="auto" w:fill="FFFFFF"/>
          <w:lang w:val="en-US" w:eastAsia="zh-CN"/>
        </w:rPr>
        <w:t>时</w:t>
      </w:r>
      <w:r>
        <w:rPr>
          <w:rFonts w:hint="eastAsia" w:ascii="宋体" w:hAnsi="宋体" w:cs="宋体"/>
          <w:color w:val="FF0000"/>
          <w:kern w:val="0"/>
          <w:sz w:val="28"/>
          <w:szCs w:val="28"/>
          <w:lang w:eastAsia="zh-CN"/>
        </w:rPr>
        <w:t>，</w:t>
      </w:r>
      <w:r>
        <w:rPr>
          <w:rFonts w:hint="eastAsia" w:ascii="宋体" w:hAnsi="宋体" w:cs="宋体"/>
          <w:color w:val="000000"/>
          <w:kern w:val="0"/>
          <w:sz w:val="28"/>
          <w:szCs w:val="28"/>
          <w:lang w:eastAsia="zh-CN"/>
        </w:rPr>
        <w:t>乙方不得以任何理由怠慢或拒绝提货，造成货物堆积。</w:t>
      </w:r>
    </w:p>
    <w:p w14:paraId="39F2801C">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4、由于不可抗力(如战争、地震、台风、洪水、疫情、政府行为等不可预见、不可避免、不可克服的事件)造成延期的，由乙方提出书面申请，甲方同意后可顺延期限。</w:t>
      </w:r>
    </w:p>
    <w:p w14:paraId="25350A3A">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第四条 运输、装卸及现场清理:</w:t>
      </w:r>
    </w:p>
    <w:p w14:paraId="3D6EA8E2">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1、乙方自行组织运输,承担运输</w:t>
      </w:r>
      <w:r>
        <w:rPr>
          <w:rFonts w:hint="eastAsia" w:ascii="宋体" w:hAnsi="宋体" w:cs="宋体"/>
          <w:color w:val="000000"/>
          <w:kern w:val="0"/>
          <w:sz w:val="28"/>
          <w:szCs w:val="28"/>
          <w:lang w:val="en-US" w:eastAsia="zh-CN"/>
        </w:rPr>
        <w:t>费</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并负责清理提货现场</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甲方负责装车</w:t>
      </w:r>
      <w:r>
        <w:rPr>
          <w:rFonts w:hint="eastAsia" w:ascii="宋体" w:hAnsi="宋体" w:cs="宋体"/>
          <w:color w:val="000000"/>
          <w:kern w:val="0"/>
          <w:sz w:val="28"/>
          <w:szCs w:val="28"/>
        </w:rPr>
        <w:t>。</w:t>
      </w:r>
    </w:p>
    <w:p w14:paraId="357653BF">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2、乙方在</w:t>
      </w:r>
      <w:r>
        <w:rPr>
          <w:rFonts w:hint="eastAsia" w:ascii="宋体" w:hAnsi="宋体" w:cs="宋体"/>
          <w:color w:val="000000"/>
          <w:kern w:val="0"/>
          <w:sz w:val="28"/>
          <w:szCs w:val="28"/>
          <w:lang w:eastAsia="zh-CN"/>
        </w:rPr>
        <w:t>装车</w:t>
      </w:r>
      <w:r>
        <w:rPr>
          <w:rFonts w:hint="eastAsia" w:ascii="宋体" w:hAnsi="宋体" w:cs="宋体"/>
          <w:color w:val="000000"/>
          <w:kern w:val="0"/>
          <w:sz w:val="28"/>
          <w:szCs w:val="28"/>
        </w:rPr>
        <w:t>、运输及现场清理等过程中,相关安全风险、安全、坏境事故责任均由乙方承担。</w:t>
      </w:r>
    </w:p>
    <w:p w14:paraId="3EBC734A">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3、</w:t>
      </w:r>
      <w:r>
        <w:rPr>
          <w:rFonts w:hint="eastAsia" w:ascii="宋体" w:hAnsi="宋体" w:cs="宋体"/>
          <w:color w:val="000000"/>
          <w:kern w:val="0"/>
          <w:sz w:val="28"/>
          <w:szCs w:val="28"/>
          <w:lang w:val="en-US" w:eastAsia="zh-CN"/>
        </w:rPr>
        <w:t>清理不及时</w:t>
      </w:r>
      <w:r>
        <w:rPr>
          <w:rFonts w:hint="eastAsia" w:ascii="宋体" w:hAnsi="宋体" w:cs="宋体"/>
          <w:color w:val="000000"/>
          <w:kern w:val="0"/>
          <w:sz w:val="28"/>
          <w:szCs w:val="28"/>
        </w:rPr>
        <w:t>，甲方有权从履约保证金中扣除清理费</w:t>
      </w:r>
      <w:r>
        <w:rPr>
          <w:rFonts w:hint="eastAsia" w:ascii="宋体" w:hAnsi="宋体" w:cs="宋体"/>
          <w:color w:val="000000"/>
          <w:kern w:val="0"/>
          <w:sz w:val="28"/>
          <w:szCs w:val="28"/>
          <w:lang w:val="en-US" w:eastAsia="zh-CN"/>
        </w:rPr>
        <w:t>5</w:t>
      </w:r>
      <w:r>
        <w:rPr>
          <w:rFonts w:hint="eastAsia" w:ascii="宋体" w:hAnsi="宋体" w:cs="宋体"/>
          <w:color w:val="000000"/>
          <w:kern w:val="0"/>
          <w:sz w:val="28"/>
          <w:szCs w:val="28"/>
        </w:rPr>
        <w:t>000元</w:t>
      </w:r>
      <w:r>
        <w:rPr>
          <w:rFonts w:hint="eastAsia" w:ascii="宋体" w:hAnsi="宋体" w:cs="宋体"/>
          <w:color w:val="000000"/>
          <w:kern w:val="0"/>
          <w:sz w:val="28"/>
          <w:szCs w:val="28"/>
          <w:lang w:val="en-US" w:eastAsia="zh-CN"/>
        </w:rPr>
        <w:t>/次</w:t>
      </w:r>
      <w:r>
        <w:rPr>
          <w:rFonts w:hint="eastAsia" w:ascii="宋体" w:hAnsi="宋体" w:cs="宋体"/>
          <w:color w:val="000000"/>
          <w:kern w:val="0"/>
          <w:sz w:val="28"/>
          <w:szCs w:val="28"/>
        </w:rPr>
        <w:t>。</w:t>
      </w:r>
    </w:p>
    <w:p w14:paraId="1C1B0DED">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lang w:val="en-US" w:eastAsia="zh-CN"/>
        </w:rPr>
      </w:pPr>
      <w:r>
        <w:rPr>
          <w:rFonts w:hint="eastAsia" w:ascii="宋体" w:hAnsi="宋体" w:cs="宋体"/>
          <w:color w:val="000000"/>
          <w:kern w:val="0"/>
          <w:sz w:val="28"/>
          <w:szCs w:val="28"/>
          <w:lang w:val="en-US" w:eastAsia="zh-CN"/>
        </w:rPr>
        <w:t>4、乙方运输车辆，装车完毕后车辆覆盖篷布，保证车辆运输途中不能水渣抛洒。</w:t>
      </w:r>
    </w:p>
    <w:p w14:paraId="5A2B3290">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default" w:ascii="宋体" w:hAnsi="宋体" w:cs="宋体"/>
          <w:color w:val="000000"/>
          <w:kern w:val="0"/>
          <w:sz w:val="28"/>
          <w:szCs w:val="28"/>
          <w:lang w:val="en-US" w:eastAsia="zh-CN"/>
        </w:rPr>
      </w:pPr>
      <w:r>
        <w:rPr>
          <w:rFonts w:hint="eastAsia" w:ascii="宋体" w:hAnsi="宋体" w:cs="宋体"/>
          <w:color w:val="000000"/>
          <w:kern w:val="0"/>
          <w:sz w:val="28"/>
          <w:szCs w:val="28"/>
          <w:lang w:val="en-US" w:eastAsia="zh-CN"/>
        </w:rPr>
        <w:t>5、乙方运输车辆进厂过磅时间超过4小时，每车考核承运单位200元。</w:t>
      </w:r>
    </w:p>
    <w:p w14:paraId="43E4A763">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第五条 违约责任</w:t>
      </w:r>
    </w:p>
    <w:p w14:paraId="00D73AC1">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lang w:val="en-US" w:eastAsia="zh-CN"/>
        </w:rPr>
      </w:pPr>
      <w:r>
        <w:rPr>
          <w:rFonts w:hint="eastAsia" w:ascii="宋体" w:hAnsi="宋体" w:cs="宋体"/>
          <w:color w:val="000000"/>
          <w:kern w:val="0"/>
          <w:sz w:val="28"/>
          <w:szCs w:val="28"/>
          <w:lang w:val="en-US" w:eastAsia="zh-CN"/>
        </w:rPr>
        <w:t>1</w:t>
      </w:r>
      <w:r>
        <w:rPr>
          <w:rFonts w:hint="eastAsia" w:ascii="宋体" w:hAnsi="宋体" w:cs="宋体"/>
          <w:color w:val="000000"/>
          <w:kern w:val="0"/>
          <w:sz w:val="28"/>
          <w:szCs w:val="28"/>
        </w:rPr>
        <w:t>、</w:t>
      </w:r>
      <w:r>
        <w:rPr>
          <w:rFonts w:hint="eastAsia" w:ascii="宋体" w:hAnsi="宋体" w:cs="宋体"/>
          <w:color w:val="000000"/>
          <w:kern w:val="0"/>
          <w:sz w:val="28"/>
          <w:szCs w:val="28"/>
          <w:lang w:val="en-US" w:eastAsia="zh-CN"/>
        </w:rPr>
        <w:t>乙方应遵守国家法律、法规和本合同条款,否则需承担相应法律及违约责任。</w:t>
      </w:r>
    </w:p>
    <w:p w14:paraId="18B7ED47">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、乙方</w:t>
      </w:r>
      <w:r>
        <w:rPr>
          <w:rFonts w:hint="eastAsia" w:ascii="宋体" w:hAnsi="宋体" w:cs="宋体"/>
          <w:color w:val="000000"/>
          <w:kern w:val="0"/>
          <w:sz w:val="28"/>
          <w:szCs w:val="28"/>
          <w:lang w:val="en-US" w:eastAsia="zh-CN"/>
        </w:rPr>
        <w:t>出现3次以上，</w:t>
      </w:r>
      <w:r>
        <w:rPr>
          <w:rFonts w:hint="eastAsia" w:ascii="宋体" w:hAnsi="宋体" w:cs="宋体"/>
          <w:color w:val="000000"/>
          <w:kern w:val="0"/>
          <w:sz w:val="28"/>
          <w:szCs w:val="28"/>
        </w:rPr>
        <w:t>未能</w:t>
      </w:r>
      <w:r>
        <w:rPr>
          <w:rFonts w:hint="eastAsia" w:ascii="宋体" w:hAnsi="宋体" w:cs="宋体"/>
          <w:color w:val="000000"/>
          <w:kern w:val="0"/>
          <w:sz w:val="28"/>
          <w:szCs w:val="28"/>
          <w:lang w:val="en-US" w:eastAsia="zh-CN"/>
        </w:rPr>
        <w:t>在规定时间内按甲方要求清理干净现场货物的</w:t>
      </w:r>
      <w:r>
        <w:rPr>
          <w:rFonts w:hint="eastAsia" w:ascii="宋体" w:hAnsi="宋体" w:cs="宋体"/>
          <w:color w:val="000000"/>
          <w:kern w:val="0"/>
          <w:sz w:val="28"/>
          <w:szCs w:val="28"/>
        </w:rPr>
        <w:t>,</w:t>
      </w:r>
      <w:r>
        <w:rPr>
          <w:rFonts w:hint="eastAsia" w:ascii="宋体" w:hAnsi="宋体" w:cs="宋体"/>
          <w:color w:val="000000"/>
          <w:kern w:val="0"/>
          <w:sz w:val="28"/>
          <w:szCs w:val="28"/>
          <w:lang w:val="en-US" w:eastAsia="zh-CN"/>
        </w:rPr>
        <w:t>视情况，</w:t>
      </w:r>
      <w:r>
        <w:rPr>
          <w:rFonts w:hint="eastAsia" w:ascii="宋体" w:hAnsi="宋体" w:cs="宋体"/>
          <w:color w:val="000000"/>
          <w:kern w:val="0"/>
          <w:sz w:val="28"/>
          <w:szCs w:val="28"/>
        </w:rPr>
        <w:t>甲方有权</w:t>
      </w:r>
      <w:r>
        <w:rPr>
          <w:rFonts w:hint="eastAsia" w:ascii="宋体" w:hAnsi="宋体" w:cs="宋体"/>
          <w:color w:val="000000"/>
          <w:kern w:val="0"/>
          <w:sz w:val="28"/>
          <w:szCs w:val="28"/>
          <w:lang w:val="en-US" w:eastAsia="zh-CN"/>
        </w:rPr>
        <w:t>随时</w:t>
      </w:r>
      <w:r>
        <w:rPr>
          <w:rFonts w:hint="eastAsia" w:ascii="宋体" w:hAnsi="宋体" w:cs="宋体"/>
          <w:color w:val="000000"/>
          <w:kern w:val="0"/>
          <w:sz w:val="28"/>
          <w:szCs w:val="28"/>
        </w:rPr>
        <w:t>终止合同另行处置,</w:t>
      </w:r>
      <w:r>
        <w:rPr>
          <w:rFonts w:hint="eastAsia" w:ascii="宋体" w:hAnsi="宋体" w:cs="宋体"/>
          <w:color w:val="000000"/>
          <w:kern w:val="0"/>
          <w:sz w:val="28"/>
          <w:szCs w:val="28"/>
          <w:lang w:val="en-US" w:eastAsia="zh-CN"/>
        </w:rPr>
        <w:t>并扣除部分或全部</w:t>
      </w:r>
      <w:r>
        <w:rPr>
          <w:rFonts w:hint="eastAsia" w:ascii="宋体" w:hAnsi="宋体" w:cs="宋体"/>
          <w:color w:val="000000"/>
          <w:kern w:val="0"/>
          <w:sz w:val="28"/>
          <w:szCs w:val="28"/>
        </w:rPr>
        <w:t>乙方向甲方支付的</w:t>
      </w:r>
      <w:r>
        <w:rPr>
          <w:rFonts w:hint="eastAsia" w:ascii="宋体" w:hAnsi="宋体" w:cs="宋体"/>
          <w:color w:val="000000"/>
          <w:kern w:val="0"/>
          <w:sz w:val="28"/>
          <w:szCs w:val="28"/>
          <w:lang w:eastAsia="zh-CN"/>
        </w:rPr>
        <w:t>竞价</w:t>
      </w:r>
      <w:r>
        <w:rPr>
          <w:rFonts w:hint="eastAsia" w:ascii="宋体" w:hAnsi="宋体" w:cs="宋体"/>
          <w:color w:val="000000"/>
          <w:kern w:val="0"/>
          <w:sz w:val="28"/>
          <w:szCs w:val="28"/>
          <w:lang w:val="en-US" w:eastAsia="zh-CN"/>
        </w:rPr>
        <w:t>保证金</w:t>
      </w:r>
      <w:r>
        <w:rPr>
          <w:rFonts w:hint="eastAsia" w:ascii="宋体" w:hAnsi="宋体" w:cs="宋体"/>
          <w:color w:val="000000"/>
          <w:kern w:val="0"/>
          <w:sz w:val="28"/>
          <w:szCs w:val="28"/>
        </w:rPr>
        <w:t>,并赔偿甲方因此造成的全部损失。</w:t>
      </w:r>
    </w:p>
    <w:p w14:paraId="694DA9DD">
      <w:pPr>
        <w:snapToGrid w:val="0"/>
        <w:spacing w:line="360" w:lineRule="auto"/>
        <w:ind w:left="0" w:firstLine="560" w:firstLineChars="200"/>
        <w:rPr>
          <w:rFonts w:hint="eastAsia" w:ascii="宋体" w:hAnsi="宋体" w:eastAsia="宋体" w:cs="宋体"/>
          <w:color w:val="000000"/>
          <w:kern w:val="0"/>
          <w:sz w:val="28"/>
          <w:szCs w:val="28"/>
          <w:lang w:val="en-US" w:eastAsia="zh-CN"/>
        </w:rPr>
      </w:pPr>
      <w:r>
        <w:rPr>
          <w:rFonts w:hint="eastAsia" w:ascii="宋体" w:hAnsi="宋体" w:cs="宋体"/>
          <w:color w:val="000000"/>
          <w:kern w:val="0"/>
          <w:sz w:val="28"/>
          <w:szCs w:val="28"/>
          <w:lang w:val="en-US" w:eastAsia="zh-CN"/>
        </w:rPr>
        <w:t>3、乙方在销售装车、出厂时，不混装其他有回收价值的物资。如发生混装、夹带其他有回收价值的物资的现象，从乙方在周钢已有账户余额中扣除提货款：价值在1000元以内的，按夹带有价物资的5倍扣除提货款；价值在1000-2000元，按夹带有价物资的10倍扣除提货款；价值超2000元的物资，除按夹带有价物资的20倍扣除提货款外，解除合同并终止在周钢的所有业务，不予返还剩余提货款，永久取消其合格供方和经销商资格。</w:t>
      </w:r>
    </w:p>
    <w:p w14:paraId="1BCAB59F">
      <w:pPr>
        <w:keepNext w:val="0"/>
        <w:keepLines w:val="0"/>
        <w:pageBreakBefore w:val="0"/>
        <w:widowControl/>
        <w:kinsoku/>
        <w:wordWrap/>
        <w:overflowPunct/>
        <w:topLinePunct w:val="0"/>
        <w:autoSpaceDE/>
        <w:autoSpaceDN/>
        <w:bidi w:val="0"/>
        <w:adjustRightInd/>
        <w:snapToGrid/>
        <w:spacing w:line="440" w:lineRule="exact"/>
        <w:ind w:firstLine="560" w:firstLineChars="200"/>
        <w:jc w:val="left"/>
        <w:textAlignment w:val="auto"/>
        <w:rPr>
          <w:rFonts w:hint="eastAsia" w:ascii="宋体" w:hAnsi="宋体" w:cs="宋体"/>
          <w:color w:val="000000"/>
          <w:kern w:val="0"/>
          <w:sz w:val="28"/>
          <w:szCs w:val="28"/>
        </w:rPr>
      </w:pPr>
      <w:r>
        <w:rPr>
          <w:rFonts w:hint="eastAsia" w:ascii="宋体" w:hAnsi="宋体" w:cs="宋体"/>
          <w:color w:val="000000"/>
          <w:kern w:val="0"/>
          <w:sz w:val="28"/>
          <w:szCs w:val="28"/>
        </w:rPr>
        <w:t>第六条 争议解决</w:t>
      </w:r>
    </w:p>
    <w:p w14:paraId="7D99C53A">
      <w:pPr>
        <w:tabs>
          <w:tab w:val="right" w:pos="8528"/>
        </w:tabs>
        <w:spacing w:line="440" w:lineRule="exact"/>
        <w:ind w:firstLine="565" w:firstLineChars="202"/>
        <w:jc w:val="left"/>
        <w:rPr>
          <w:rFonts w:hint="eastAsia" w:ascii="宋体" w:hAnsi="宋体" w:cs="宋体"/>
          <w:sz w:val="28"/>
          <w:szCs w:val="28"/>
        </w:rPr>
      </w:pPr>
      <w:r>
        <w:rPr>
          <w:rFonts w:hint="eastAsia" w:ascii="宋体" w:hAnsi="宋体" w:cs="宋体"/>
          <w:color w:val="000000"/>
          <w:kern w:val="0"/>
          <w:sz w:val="28"/>
          <w:szCs w:val="28"/>
        </w:rPr>
        <w:t>与本合同有关的任何纠纷,由双方协商解决;如协商未果,则向甲方所在地人民法院起诉。</w:t>
      </w:r>
      <w:bookmarkStart w:id="1" w:name="_GoBack"/>
      <w:bookmarkEnd w:id="1"/>
    </w:p>
    <w:p w14:paraId="4EC63B4F">
      <w:pPr>
        <w:tabs>
          <w:tab w:val="right" w:pos="8528"/>
        </w:tabs>
        <w:spacing w:line="440" w:lineRule="exact"/>
        <w:jc w:val="left"/>
        <w:rPr>
          <w:rFonts w:hint="eastAsia" w:ascii="宋体" w:hAnsi="宋体" w:cs="宋体"/>
          <w:sz w:val="28"/>
          <w:szCs w:val="28"/>
        </w:rPr>
      </w:pPr>
      <w:r>
        <w:rPr>
          <w:rFonts w:hint="eastAsia" w:ascii="宋体" w:hAnsi="宋体" w:cs="宋体"/>
          <w:b/>
          <w:bCs/>
          <w:sz w:val="28"/>
          <w:szCs w:val="28"/>
        </w:rPr>
        <w:t>七、技术要求（或技术协议/附件）：</w:t>
      </w:r>
    </w:p>
    <w:p w14:paraId="00A1EC04">
      <w:pPr>
        <w:spacing w:line="440" w:lineRule="exact"/>
        <w:ind w:firstLine="280" w:firstLineChars="100"/>
        <w:rPr>
          <w:rFonts w:ascii="仿宋_GB2312" w:cs="宋体"/>
          <w:b/>
          <w:bCs/>
          <w:color w:val="FF0000"/>
          <w:kern w:val="0"/>
          <w:sz w:val="30"/>
          <w:szCs w:val="30"/>
        </w:rPr>
      </w:pPr>
      <w:r>
        <w:rPr>
          <w:rFonts w:hint="eastAsia" w:ascii="宋体" w:hAnsi="宋体" w:cs="宋体"/>
          <w:sz w:val="28"/>
          <w:szCs w:val="28"/>
        </w:rPr>
        <w:t>参运车辆进厂的要求：见上文。</w:t>
      </w:r>
    </w:p>
    <w:p w14:paraId="26561046">
      <w:pPr>
        <w:rPr>
          <w:rFonts w:hint="eastAsia" w:ascii="黑体" w:hAnsi="黑体" w:eastAsia="黑体" w:cs="黑体"/>
          <w:color w:val="FF0000"/>
          <w:sz w:val="30"/>
          <w:szCs w:val="30"/>
        </w:rPr>
      </w:pPr>
      <w:r>
        <w:rPr>
          <w:rFonts w:hint="eastAsia" w:ascii="黑体" w:hAnsi="黑体" w:eastAsia="黑体" w:cs="黑体"/>
          <w:color w:val="FF0000"/>
          <w:sz w:val="30"/>
          <w:szCs w:val="30"/>
        </w:rPr>
        <w:t>八、经销商参与本次竞价即视为同意本竞价预告中的所有条款。</w:t>
      </w:r>
    </w:p>
    <w:p w14:paraId="3AB8A035">
      <w:pPr>
        <w:rPr>
          <w:rFonts w:hint="eastAsia" w:ascii="黑体" w:hAnsi="黑体" w:eastAsia="黑体" w:cs="黑体"/>
          <w:color w:val="FF0000"/>
          <w:sz w:val="30"/>
          <w:szCs w:val="30"/>
        </w:rPr>
      </w:pPr>
      <w:r>
        <w:rPr>
          <w:rFonts w:hint="eastAsia" w:ascii="黑体" w:hAnsi="黑体" w:eastAsia="黑体" w:cs="黑体"/>
          <w:color w:val="FF0000"/>
          <w:sz w:val="30"/>
          <w:szCs w:val="30"/>
        </w:rPr>
        <w:t>九、以上内容为预告内容，最终以竞价销售公告为准。</w:t>
      </w:r>
    </w:p>
    <w:p w14:paraId="75087E20">
      <w:pPr>
        <w:widowControl/>
        <w:spacing w:line="480" w:lineRule="auto"/>
        <w:jc w:val="left"/>
        <w:rPr>
          <w:rFonts w:ascii="黑体" w:eastAsia="黑体" w:cs="宋体"/>
          <w:color w:val="3C3C3C"/>
          <w:kern w:val="0"/>
          <w:sz w:val="30"/>
          <w:szCs w:val="30"/>
        </w:rPr>
      </w:pPr>
      <w:r>
        <w:rPr>
          <w:rFonts w:hint="eastAsia" w:ascii="黑体" w:eastAsia="黑体" w:cs="宋体"/>
          <w:color w:val="000000"/>
          <w:kern w:val="0"/>
          <w:sz w:val="30"/>
          <w:szCs w:val="30"/>
        </w:rPr>
        <w:t>十、业务咨询</w:t>
      </w:r>
    </w:p>
    <w:p w14:paraId="75F7FE93">
      <w:pPr>
        <w:widowControl/>
        <w:tabs>
          <w:tab w:val="right" w:pos="8306"/>
        </w:tabs>
        <w:spacing w:line="480" w:lineRule="auto"/>
        <w:ind w:firstLine="720"/>
        <w:jc w:val="left"/>
        <w:rPr>
          <w:rFonts w:ascii="仿宋_GB2312" w:eastAsia="仿宋_GB2312" w:cs="宋体"/>
          <w:color w:val="3C3C3C"/>
          <w:kern w:val="0"/>
          <w:sz w:val="30"/>
          <w:szCs w:val="30"/>
        </w:rPr>
      </w:pPr>
      <w:r>
        <w:rPr>
          <w:rFonts w:hint="eastAsia" w:ascii="仿宋_GB2312" w:eastAsia="仿宋_GB2312" w:cs="宋体"/>
          <w:color w:val="000000"/>
          <w:kern w:val="0"/>
          <w:sz w:val="30"/>
          <w:szCs w:val="30"/>
        </w:rPr>
        <w:t>联系单位：</w:t>
      </w:r>
      <w:r>
        <w:rPr>
          <w:rFonts w:hint="eastAsia" w:ascii="仿宋_GB2312" w:eastAsia="仿宋_GB2312" w:cs="宋体"/>
          <w:color w:val="3C3C3C"/>
          <w:kern w:val="0"/>
          <w:sz w:val="30"/>
          <w:szCs w:val="30"/>
        </w:rPr>
        <w:t>周口钢铁综合经营部</w:t>
      </w:r>
    </w:p>
    <w:p w14:paraId="6611361F">
      <w:pPr>
        <w:widowControl/>
        <w:tabs>
          <w:tab w:val="right" w:pos="8306"/>
        </w:tabs>
        <w:spacing w:line="480" w:lineRule="auto"/>
        <w:ind w:left="2085" w:leftChars="350" w:hanging="1350" w:hangingChars="450"/>
        <w:jc w:val="left"/>
        <w:rPr>
          <w:rFonts w:ascii="仿宋_GB2312" w:eastAsia="仿宋_GB2312" w:cs="宋体"/>
          <w:color w:val="3C3C3C"/>
          <w:kern w:val="0"/>
          <w:sz w:val="30"/>
          <w:szCs w:val="30"/>
        </w:rPr>
      </w:pPr>
      <w:r>
        <w:rPr>
          <w:rFonts w:hint="eastAsia" w:ascii="仿宋_GB2312" w:eastAsia="仿宋_GB2312" w:cs="宋体"/>
          <w:color w:val="3C3C3C"/>
          <w:kern w:val="0"/>
          <w:sz w:val="30"/>
          <w:szCs w:val="30"/>
        </w:rPr>
        <w:t>地    址：周口市沈丘县</w:t>
      </w:r>
    </w:p>
    <w:p w14:paraId="3C1C9D74">
      <w:pPr>
        <w:widowControl/>
        <w:tabs>
          <w:tab w:val="right" w:pos="8306"/>
        </w:tabs>
        <w:spacing w:line="480" w:lineRule="auto"/>
        <w:ind w:left="2085" w:leftChars="350" w:hanging="1350" w:hangingChars="450"/>
        <w:jc w:val="left"/>
        <w:rPr>
          <w:rFonts w:ascii="仿宋_GB2312" w:eastAsia="仿宋_GB2312" w:cs="宋体"/>
          <w:color w:val="3C3C3C"/>
          <w:kern w:val="0"/>
          <w:sz w:val="30"/>
          <w:szCs w:val="30"/>
        </w:rPr>
      </w:pPr>
      <w:r>
        <w:rPr>
          <w:rFonts w:hint="eastAsia" w:ascii="仿宋_GB2312" w:eastAsia="仿宋_GB2312" w:cs="宋体"/>
          <w:color w:val="3C3C3C"/>
          <w:kern w:val="0"/>
          <w:sz w:val="30"/>
          <w:szCs w:val="30"/>
        </w:rPr>
        <w:t>联 系 人：申工</w:t>
      </w:r>
    </w:p>
    <w:p w14:paraId="73B04996">
      <w:pPr>
        <w:widowControl/>
        <w:spacing w:line="480" w:lineRule="auto"/>
        <w:ind w:firstLine="720"/>
        <w:jc w:val="left"/>
        <w:rPr>
          <w:rFonts w:ascii="仿宋_GB2312" w:eastAsia="仿宋_GB2312" w:cs="宋体"/>
          <w:color w:val="3C3C3C"/>
          <w:kern w:val="0"/>
          <w:sz w:val="30"/>
          <w:szCs w:val="30"/>
        </w:rPr>
      </w:pPr>
      <w:r>
        <w:rPr>
          <w:rFonts w:hint="eastAsia" w:ascii="仿宋_GB2312" w:eastAsia="仿宋_GB2312" w:cs="宋体"/>
          <w:color w:val="3C3C3C"/>
          <w:kern w:val="0"/>
          <w:sz w:val="30"/>
          <w:szCs w:val="30"/>
        </w:rPr>
        <w:t xml:space="preserve">联系电话：15937283765   </w:t>
      </w:r>
    </w:p>
    <w:p w14:paraId="5FFC23C3">
      <w:pPr>
        <w:snapToGrid w:val="0"/>
        <w:spacing w:line="360" w:lineRule="auto"/>
        <w:ind w:firstLine="465"/>
        <w:jc w:val="left"/>
        <w:rPr>
          <w:rFonts w:ascii="宋体" w:cs="宋体"/>
          <w:sz w:val="24"/>
          <w:szCs w:val="24"/>
        </w:rPr>
      </w:pPr>
      <w:r>
        <w:rPr>
          <w:rFonts w:hint="eastAsia" w:ascii="宋体" w:cs="宋体"/>
          <w:sz w:val="24"/>
          <w:szCs w:val="24"/>
        </w:rPr>
        <w:t>附：物流公司电动重卡运输服务费用表</w:t>
      </w:r>
    </w:p>
    <w:tbl>
      <w:tblPr>
        <w:tblStyle w:val="4"/>
        <w:tblW w:w="7440" w:type="dxa"/>
        <w:tblInd w:w="93" w:type="dxa"/>
        <w:tblLayout w:type="autofit"/>
        <w:tblCellMar>
          <w:top w:w="0" w:type="dxa"/>
          <w:left w:w="108" w:type="dxa"/>
          <w:bottom w:w="0" w:type="dxa"/>
          <w:right w:w="108" w:type="dxa"/>
        </w:tblCellMar>
      </w:tblPr>
      <w:tblGrid>
        <w:gridCol w:w="1329"/>
        <w:gridCol w:w="2331"/>
        <w:gridCol w:w="3780"/>
      </w:tblGrid>
      <w:tr w14:paraId="4A837850">
        <w:trPr>
          <w:trHeight w:val="500" w:hRule="atLeast"/>
        </w:trPr>
        <w:tc>
          <w:tcPr>
            <w:tcW w:w="7440" w:type="dxa"/>
            <w:gridSpan w:val="3"/>
            <w:tcBorders>
              <w:top w:val="single" w:color="000000" w:sz="4" w:space="0"/>
              <w:left w:val="single" w:color="000000" w:sz="4" w:space="0"/>
              <w:bottom w:val="single" w:color="000000" w:sz="4" w:space="0"/>
              <w:right w:val="single" w:color="000000" w:sz="4" w:space="0"/>
            </w:tcBorders>
            <w:noWrap/>
            <w:vAlign w:val="center"/>
          </w:tcPr>
          <w:p w14:paraId="30815B4B">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水渣、钢渣运输价格表</w:t>
            </w:r>
          </w:p>
        </w:tc>
      </w:tr>
      <w:tr w14:paraId="6260AC29">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F1E07D">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B953B0">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运距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EA35A4">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单价（元/吨）</w:t>
            </w:r>
          </w:p>
        </w:tc>
      </w:tr>
      <w:tr w14:paraId="23435CFB">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EFAAD9">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729EF3">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5KM内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EEA86">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5</w:t>
            </w:r>
          </w:p>
        </w:tc>
      </w:tr>
      <w:tr w14:paraId="4E99D85F">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79AA4A6">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6CD310">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5-20KM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533225">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每KM增加0.5元</w:t>
            </w:r>
          </w:p>
        </w:tc>
      </w:tr>
      <w:tr w14:paraId="41840CFF">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52A81F">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A6CF9D">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20-30KM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3F1F30">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18</w:t>
            </w:r>
          </w:p>
        </w:tc>
      </w:tr>
      <w:tr w14:paraId="141C6755">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CF16DA">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810E7B">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30-40KM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565AFF">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25</w:t>
            </w:r>
          </w:p>
        </w:tc>
      </w:tr>
      <w:tr w14:paraId="041808B6">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7B6BAB">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775F36">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40-50KM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5C3B85">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35</w:t>
            </w:r>
          </w:p>
        </w:tc>
      </w:tr>
      <w:tr w14:paraId="12C93F00">
        <w:tblPrEx>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7CC79D">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3D08D1">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50KM以上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B1C976">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协商定价</w:t>
            </w:r>
          </w:p>
        </w:tc>
      </w:tr>
      <w:tr w14:paraId="69737F92">
        <w:tblPrEx>
          <w:tblCellMar>
            <w:top w:w="0" w:type="dxa"/>
            <w:left w:w="108" w:type="dxa"/>
            <w:bottom w:w="0" w:type="dxa"/>
            <w:right w:w="108" w:type="dxa"/>
          </w:tblCellMar>
        </w:tblPrEx>
        <w:trPr>
          <w:trHeight w:val="54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E4B1FA7">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备注：以上价格均为不含税价，税率9%。</w:t>
            </w:r>
          </w:p>
        </w:tc>
      </w:tr>
    </w:tbl>
    <w:p w14:paraId="6B1A84D0">
      <w:pPr>
        <w:widowControl/>
        <w:spacing w:line="480" w:lineRule="auto"/>
        <w:ind w:right="480" w:firstLine="720"/>
        <w:jc w:val="center"/>
      </w:pPr>
      <w:r>
        <w:rPr>
          <w:rFonts w:hint="eastAsia" w:ascii="仿宋_GB2312" w:eastAsia="仿宋_GB2312" w:cs="宋体"/>
          <w:color w:val="3C3C3C"/>
          <w:kern w:val="0"/>
          <w:sz w:val="30"/>
          <w:szCs w:val="30"/>
        </w:rPr>
        <w:t xml:space="preserve">             </w:t>
      </w:r>
    </w:p>
    <w:p w14:paraId="685659F4">
      <w:pPr>
        <w:widowControl/>
        <w:spacing w:line="480" w:lineRule="auto"/>
        <w:ind w:right="480" w:firstLine="720"/>
        <w:jc w:val="center"/>
      </w:pPr>
    </w:p>
    <w:sectPr>
      <w:headerReference r:id="rId3" w:type="default"/>
      <w:footerReference r:id="rId4" w:type="default"/>
      <w:footerReference r:id="rId5" w:type="even"/>
      <w:pgSz w:w="11906" w:h="16838"/>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5E445">
    <w:pPr>
      <w:pStyle w:val="2"/>
      <w:jc w:val="center"/>
    </w:pPr>
    <w:r>
      <w:fldChar w:fldCharType="begin"/>
    </w:r>
    <w:r>
      <w:instrText xml:space="preserve"> PAGE   \* MERGEFORMAT </w:instrText>
    </w:r>
    <w:r>
      <w:fldChar w:fldCharType="separate"/>
    </w:r>
    <w:r>
      <w:rPr>
        <w:lang w:val="zh-CN"/>
      </w:rPr>
      <w:t>5</w:t>
    </w:r>
    <w:r>
      <w:fldChar w:fldCharType="end"/>
    </w:r>
  </w:p>
  <w:p w14:paraId="3876CFD4">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8573C">
    <w:pPr>
      <w:pStyle w:val="2"/>
      <w:framePr w:wrap="around" w:vAnchor="text" w:hAnchor="margin" w:xAlign="right" w:y="1"/>
      <w:rPr>
        <w:rStyle w:val="8"/>
      </w:rPr>
    </w:pPr>
    <w:r>
      <w:fldChar w:fldCharType="begin"/>
    </w:r>
    <w:r>
      <w:rPr>
        <w:rStyle w:val="8"/>
      </w:rPr>
      <w:instrText xml:space="preserve">PAGE  </w:instrText>
    </w:r>
    <w:r>
      <w:fldChar w:fldCharType="end"/>
    </w:r>
  </w:p>
  <w:p w14:paraId="711483BE">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A0EF2">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1A7788"/>
    <w:multiLevelType w:val="singleLevel"/>
    <w:tmpl w:val="971A7788"/>
    <w:lvl w:ilvl="0" w:tentative="0">
      <w:start w:val="2"/>
      <w:numFmt w:val="chineseCounting"/>
      <w:suff w:val="space"/>
      <w:lvlText w:val="第%1条"/>
      <w:lvlJc w:val="left"/>
      <w:rPr>
        <w:rFonts w:hint="eastAsia"/>
      </w:rPr>
    </w:lvl>
  </w:abstractNum>
  <w:abstractNum w:abstractNumId="1">
    <w:nsid w:val="CA12EB8E"/>
    <w:multiLevelType w:val="singleLevel"/>
    <w:tmpl w:val="CA12EB8E"/>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3YWUyYTgwZDQ3ZWI4YzI0ZWQzY2Q2MzE5ZjEzNjIifQ=="/>
  </w:docVars>
  <w:rsids>
    <w:rsidRoot w:val="004B0633"/>
    <w:rsid w:val="00031E12"/>
    <w:rsid w:val="000520AE"/>
    <w:rsid w:val="00091EA8"/>
    <w:rsid w:val="000D76C8"/>
    <w:rsid w:val="000F22B6"/>
    <w:rsid w:val="00126DBB"/>
    <w:rsid w:val="001641FF"/>
    <w:rsid w:val="001C79C9"/>
    <w:rsid w:val="00234FF3"/>
    <w:rsid w:val="00245829"/>
    <w:rsid w:val="00246D24"/>
    <w:rsid w:val="00267A46"/>
    <w:rsid w:val="00292877"/>
    <w:rsid w:val="002D112E"/>
    <w:rsid w:val="002F42A5"/>
    <w:rsid w:val="003455D9"/>
    <w:rsid w:val="003738AA"/>
    <w:rsid w:val="003C3CB7"/>
    <w:rsid w:val="003C69EA"/>
    <w:rsid w:val="0040386C"/>
    <w:rsid w:val="00405970"/>
    <w:rsid w:val="0041429B"/>
    <w:rsid w:val="0042589A"/>
    <w:rsid w:val="004553E4"/>
    <w:rsid w:val="00472168"/>
    <w:rsid w:val="004A15F6"/>
    <w:rsid w:val="004B0633"/>
    <w:rsid w:val="004B33DA"/>
    <w:rsid w:val="004D5D50"/>
    <w:rsid w:val="00536C74"/>
    <w:rsid w:val="005A0DF6"/>
    <w:rsid w:val="005E16DE"/>
    <w:rsid w:val="006306F4"/>
    <w:rsid w:val="00687893"/>
    <w:rsid w:val="006B4A7A"/>
    <w:rsid w:val="006F3CFD"/>
    <w:rsid w:val="0073128F"/>
    <w:rsid w:val="00733C69"/>
    <w:rsid w:val="007656BB"/>
    <w:rsid w:val="00771B73"/>
    <w:rsid w:val="00796555"/>
    <w:rsid w:val="007B086D"/>
    <w:rsid w:val="007B5147"/>
    <w:rsid w:val="007C3B5B"/>
    <w:rsid w:val="007C527A"/>
    <w:rsid w:val="007D0D60"/>
    <w:rsid w:val="007D4CFB"/>
    <w:rsid w:val="007E4B91"/>
    <w:rsid w:val="00812C9A"/>
    <w:rsid w:val="00944BA6"/>
    <w:rsid w:val="00955B8D"/>
    <w:rsid w:val="009A7860"/>
    <w:rsid w:val="00A41DDD"/>
    <w:rsid w:val="00A429AB"/>
    <w:rsid w:val="00A47157"/>
    <w:rsid w:val="00A67DF0"/>
    <w:rsid w:val="00A930F5"/>
    <w:rsid w:val="00AA6FC2"/>
    <w:rsid w:val="00B152E6"/>
    <w:rsid w:val="00B94BB0"/>
    <w:rsid w:val="00BB6E39"/>
    <w:rsid w:val="00BD1AAE"/>
    <w:rsid w:val="00C0718A"/>
    <w:rsid w:val="00C13351"/>
    <w:rsid w:val="00C22B9E"/>
    <w:rsid w:val="00CD2BCE"/>
    <w:rsid w:val="00D12D54"/>
    <w:rsid w:val="00D35803"/>
    <w:rsid w:val="00D50CAB"/>
    <w:rsid w:val="00D57A05"/>
    <w:rsid w:val="00D6487D"/>
    <w:rsid w:val="00D83F10"/>
    <w:rsid w:val="00D8765E"/>
    <w:rsid w:val="00DA168E"/>
    <w:rsid w:val="00DC58CE"/>
    <w:rsid w:val="00DE5DB3"/>
    <w:rsid w:val="00E52479"/>
    <w:rsid w:val="00E536BB"/>
    <w:rsid w:val="00E87E1E"/>
    <w:rsid w:val="00EC4273"/>
    <w:rsid w:val="00EC4871"/>
    <w:rsid w:val="00EE5F90"/>
    <w:rsid w:val="00F53CC0"/>
    <w:rsid w:val="00F73465"/>
    <w:rsid w:val="00F967D8"/>
    <w:rsid w:val="00FE6603"/>
    <w:rsid w:val="00FF789A"/>
    <w:rsid w:val="010D4F21"/>
    <w:rsid w:val="014F3052"/>
    <w:rsid w:val="015802DB"/>
    <w:rsid w:val="037F7314"/>
    <w:rsid w:val="038720C2"/>
    <w:rsid w:val="047D62CA"/>
    <w:rsid w:val="05243941"/>
    <w:rsid w:val="065344DE"/>
    <w:rsid w:val="071719AF"/>
    <w:rsid w:val="071B2D77"/>
    <w:rsid w:val="07DF5ABF"/>
    <w:rsid w:val="08A07782"/>
    <w:rsid w:val="08F61DB8"/>
    <w:rsid w:val="08FF3D26"/>
    <w:rsid w:val="098878CC"/>
    <w:rsid w:val="0ADB7197"/>
    <w:rsid w:val="0B8448A9"/>
    <w:rsid w:val="0BCC5F06"/>
    <w:rsid w:val="0BED0CF0"/>
    <w:rsid w:val="0D222E5C"/>
    <w:rsid w:val="0D4E4554"/>
    <w:rsid w:val="0D8562F4"/>
    <w:rsid w:val="0E1327A4"/>
    <w:rsid w:val="0E6610E3"/>
    <w:rsid w:val="0F072309"/>
    <w:rsid w:val="0F0C791F"/>
    <w:rsid w:val="0FC507B5"/>
    <w:rsid w:val="10152804"/>
    <w:rsid w:val="10401F77"/>
    <w:rsid w:val="10B4201D"/>
    <w:rsid w:val="126755A6"/>
    <w:rsid w:val="126B0E01"/>
    <w:rsid w:val="130A061A"/>
    <w:rsid w:val="14326B1C"/>
    <w:rsid w:val="148937C0"/>
    <w:rsid w:val="155E69FB"/>
    <w:rsid w:val="176B44C9"/>
    <w:rsid w:val="17E01949"/>
    <w:rsid w:val="17F62D26"/>
    <w:rsid w:val="188B5D59"/>
    <w:rsid w:val="18C00C08"/>
    <w:rsid w:val="18F33C11"/>
    <w:rsid w:val="19031D93"/>
    <w:rsid w:val="19BB441C"/>
    <w:rsid w:val="19CA2C6D"/>
    <w:rsid w:val="19EF49F8"/>
    <w:rsid w:val="19F811CC"/>
    <w:rsid w:val="1AC47F6B"/>
    <w:rsid w:val="1AE23C2A"/>
    <w:rsid w:val="1AEA6C69"/>
    <w:rsid w:val="1AFE4217"/>
    <w:rsid w:val="1B991BA1"/>
    <w:rsid w:val="1C120F78"/>
    <w:rsid w:val="1CE974F2"/>
    <w:rsid w:val="1DA13929"/>
    <w:rsid w:val="1F5474A8"/>
    <w:rsid w:val="1FD37B56"/>
    <w:rsid w:val="1FF46781"/>
    <w:rsid w:val="20BB11A5"/>
    <w:rsid w:val="21050673"/>
    <w:rsid w:val="21274A8D"/>
    <w:rsid w:val="213F59B9"/>
    <w:rsid w:val="216830DB"/>
    <w:rsid w:val="21C17A06"/>
    <w:rsid w:val="22A01139"/>
    <w:rsid w:val="23114EC8"/>
    <w:rsid w:val="23733FB9"/>
    <w:rsid w:val="238B4E5F"/>
    <w:rsid w:val="23955CDE"/>
    <w:rsid w:val="23E031E6"/>
    <w:rsid w:val="240A6231"/>
    <w:rsid w:val="24211108"/>
    <w:rsid w:val="246B1C6E"/>
    <w:rsid w:val="24DC611D"/>
    <w:rsid w:val="253D03DB"/>
    <w:rsid w:val="255205C8"/>
    <w:rsid w:val="268D0EEE"/>
    <w:rsid w:val="268F07D8"/>
    <w:rsid w:val="26940F7E"/>
    <w:rsid w:val="26D33101"/>
    <w:rsid w:val="27076EF2"/>
    <w:rsid w:val="270A0791"/>
    <w:rsid w:val="27442C3A"/>
    <w:rsid w:val="27D8263D"/>
    <w:rsid w:val="28243DFD"/>
    <w:rsid w:val="293E6A40"/>
    <w:rsid w:val="296F6784"/>
    <w:rsid w:val="299F1664"/>
    <w:rsid w:val="2A016F26"/>
    <w:rsid w:val="2A2743FB"/>
    <w:rsid w:val="2A6D6ABA"/>
    <w:rsid w:val="2BDD0222"/>
    <w:rsid w:val="2C0003B4"/>
    <w:rsid w:val="2DD64D6A"/>
    <w:rsid w:val="2ECC1A17"/>
    <w:rsid w:val="2ED47229"/>
    <w:rsid w:val="2EF05832"/>
    <w:rsid w:val="2F9252CB"/>
    <w:rsid w:val="2FFA11B0"/>
    <w:rsid w:val="300B46D9"/>
    <w:rsid w:val="30586A11"/>
    <w:rsid w:val="30782C0F"/>
    <w:rsid w:val="31774C75"/>
    <w:rsid w:val="31F64758"/>
    <w:rsid w:val="32245128"/>
    <w:rsid w:val="32E14A9C"/>
    <w:rsid w:val="33490893"/>
    <w:rsid w:val="33744587"/>
    <w:rsid w:val="338D14AE"/>
    <w:rsid w:val="33BF2903"/>
    <w:rsid w:val="33EC6A2B"/>
    <w:rsid w:val="33F151A8"/>
    <w:rsid w:val="34600119"/>
    <w:rsid w:val="34DF500B"/>
    <w:rsid w:val="372D227C"/>
    <w:rsid w:val="37683765"/>
    <w:rsid w:val="386E05FA"/>
    <w:rsid w:val="387A4A3F"/>
    <w:rsid w:val="38AD5420"/>
    <w:rsid w:val="39551AE6"/>
    <w:rsid w:val="39882115"/>
    <w:rsid w:val="3A922B1F"/>
    <w:rsid w:val="3AF630AE"/>
    <w:rsid w:val="3B7D1B14"/>
    <w:rsid w:val="3BA90120"/>
    <w:rsid w:val="3BF82E56"/>
    <w:rsid w:val="3C5C33E5"/>
    <w:rsid w:val="3C6B09EC"/>
    <w:rsid w:val="3D257C7B"/>
    <w:rsid w:val="3D804EB1"/>
    <w:rsid w:val="3E3363C7"/>
    <w:rsid w:val="3E4A3DEE"/>
    <w:rsid w:val="3E7E7642"/>
    <w:rsid w:val="3EA0222E"/>
    <w:rsid w:val="401D2E8B"/>
    <w:rsid w:val="411B561D"/>
    <w:rsid w:val="41250249"/>
    <w:rsid w:val="418C6B8F"/>
    <w:rsid w:val="425132C0"/>
    <w:rsid w:val="42B07FE6"/>
    <w:rsid w:val="43541570"/>
    <w:rsid w:val="436D4129"/>
    <w:rsid w:val="459F0EF7"/>
    <w:rsid w:val="45B46040"/>
    <w:rsid w:val="45BE0BB5"/>
    <w:rsid w:val="45C93936"/>
    <w:rsid w:val="45CC5137"/>
    <w:rsid w:val="45EE6E5F"/>
    <w:rsid w:val="46625A9C"/>
    <w:rsid w:val="47084895"/>
    <w:rsid w:val="471F1BDF"/>
    <w:rsid w:val="47501D98"/>
    <w:rsid w:val="475F1FDB"/>
    <w:rsid w:val="47604028"/>
    <w:rsid w:val="47874585"/>
    <w:rsid w:val="47E1325C"/>
    <w:rsid w:val="495F4514"/>
    <w:rsid w:val="49CA79AD"/>
    <w:rsid w:val="4A1049D9"/>
    <w:rsid w:val="4A291268"/>
    <w:rsid w:val="4B7F2C4C"/>
    <w:rsid w:val="4BF076A6"/>
    <w:rsid w:val="4C1E6934"/>
    <w:rsid w:val="4C32296C"/>
    <w:rsid w:val="4CE52F83"/>
    <w:rsid w:val="4D0444FB"/>
    <w:rsid w:val="4D1D1CC4"/>
    <w:rsid w:val="4D8335D2"/>
    <w:rsid w:val="4E143B1F"/>
    <w:rsid w:val="4E62450A"/>
    <w:rsid w:val="4E7C5E06"/>
    <w:rsid w:val="4E9B67BE"/>
    <w:rsid w:val="4F9B3ABB"/>
    <w:rsid w:val="4FA778F5"/>
    <w:rsid w:val="50043A14"/>
    <w:rsid w:val="505D2215"/>
    <w:rsid w:val="50736618"/>
    <w:rsid w:val="50782878"/>
    <w:rsid w:val="507C1183"/>
    <w:rsid w:val="511931FB"/>
    <w:rsid w:val="51532BB1"/>
    <w:rsid w:val="51A878E1"/>
    <w:rsid w:val="51C66037"/>
    <w:rsid w:val="528024FB"/>
    <w:rsid w:val="52BB3B11"/>
    <w:rsid w:val="530F48B5"/>
    <w:rsid w:val="536A3766"/>
    <w:rsid w:val="53784B50"/>
    <w:rsid w:val="53A3372D"/>
    <w:rsid w:val="53BD2563"/>
    <w:rsid w:val="53FC12DE"/>
    <w:rsid w:val="54A11D79"/>
    <w:rsid w:val="54ED13D9"/>
    <w:rsid w:val="551E5284"/>
    <w:rsid w:val="557355CF"/>
    <w:rsid w:val="558327A4"/>
    <w:rsid w:val="56300F98"/>
    <w:rsid w:val="563333BC"/>
    <w:rsid w:val="567E0DEE"/>
    <w:rsid w:val="57F83F40"/>
    <w:rsid w:val="58B77EC9"/>
    <w:rsid w:val="59017396"/>
    <w:rsid w:val="5A2B1863"/>
    <w:rsid w:val="5B265E74"/>
    <w:rsid w:val="5B726329"/>
    <w:rsid w:val="5C164F06"/>
    <w:rsid w:val="5C1D2340"/>
    <w:rsid w:val="5C372F5B"/>
    <w:rsid w:val="5C58043E"/>
    <w:rsid w:val="5CBB536B"/>
    <w:rsid w:val="5F3C6491"/>
    <w:rsid w:val="5F585836"/>
    <w:rsid w:val="60593614"/>
    <w:rsid w:val="608368E3"/>
    <w:rsid w:val="60B8540D"/>
    <w:rsid w:val="60CC2038"/>
    <w:rsid w:val="60E03D35"/>
    <w:rsid w:val="61320B10"/>
    <w:rsid w:val="6139085A"/>
    <w:rsid w:val="6180758F"/>
    <w:rsid w:val="626A1B08"/>
    <w:rsid w:val="63455AF5"/>
    <w:rsid w:val="638327FB"/>
    <w:rsid w:val="63C900A8"/>
    <w:rsid w:val="653B778C"/>
    <w:rsid w:val="65595129"/>
    <w:rsid w:val="65A95406"/>
    <w:rsid w:val="66962DB0"/>
    <w:rsid w:val="68E02B24"/>
    <w:rsid w:val="69453B88"/>
    <w:rsid w:val="69EB79D2"/>
    <w:rsid w:val="6A8473F6"/>
    <w:rsid w:val="6AFE74E8"/>
    <w:rsid w:val="6B811F40"/>
    <w:rsid w:val="6B916358"/>
    <w:rsid w:val="6BAA11C7"/>
    <w:rsid w:val="6BAC4F3F"/>
    <w:rsid w:val="6BFF7765"/>
    <w:rsid w:val="6C8B0FF9"/>
    <w:rsid w:val="6DCD73EF"/>
    <w:rsid w:val="6EBF6408"/>
    <w:rsid w:val="6F7E6BF3"/>
    <w:rsid w:val="6FEA7062"/>
    <w:rsid w:val="700A492A"/>
    <w:rsid w:val="701B2694"/>
    <w:rsid w:val="718129CA"/>
    <w:rsid w:val="71D76A8E"/>
    <w:rsid w:val="72872262"/>
    <w:rsid w:val="72B03567"/>
    <w:rsid w:val="7303520B"/>
    <w:rsid w:val="732009EA"/>
    <w:rsid w:val="737C169B"/>
    <w:rsid w:val="73D634A1"/>
    <w:rsid w:val="74653F59"/>
    <w:rsid w:val="746E403D"/>
    <w:rsid w:val="74E26D17"/>
    <w:rsid w:val="75C45B66"/>
    <w:rsid w:val="75ED062E"/>
    <w:rsid w:val="760E518A"/>
    <w:rsid w:val="7617130E"/>
    <w:rsid w:val="76612DCA"/>
    <w:rsid w:val="76852F1A"/>
    <w:rsid w:val="77F6641B"/>
    <w:rsid w:val="78CF3E9F"/>
    <w:rsid w:val="78EF0B61"/>
    <w:rsid w:val="795648DB"/>
    <w:rsid w:val="79984D55"/>
    <w:rsid w:val="7A3E58FC"/>
    <w:rsid w:val="7AE046BB"/>
    <w:rsid w:val="7AE26224"/>
    <w:rsid w:val="7B0E7E3C"/>
    <w:rsid w:val="7BCF3EAF"/>
    <w:rsid w:val="7CCB4815"/>
    <w:rsid w:val="7CE1031D"/>
    <w:rsid w:val="7E8F2E64"/>
    <w:rsid w:val="7F726AEE"/>
    <w:rsid w:val="7F961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rPr>
  </w:style>
  <w:style w:type="character" w:customStyle="1" w:styleId="8">
    <w:name w:val="页码1"/>
    <w:basedOn w:val="6"/>
    <w:autoRedefine/>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3493</Words>
  <Characters>3673</Characters>
  <Lines>25</Lines>
  <Paragraphs>7</Paragraphs>
  <TotalTime>0</TotalTime>
  <ScaleCrop>false</ScaleCrop>
  <LinksUpToDate>false</LinksUpToDate>
  <CharactersWithSpaces>3794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2026-03-12T13:22:00Z</dcterms:created>
  <dc:creator>李建法</dc:creator>
  <cp:lastModifiedBy>贾超</cp:lastModifiedBy>
  <dcterms:modified xsi:type="dcterms:W3CDTF">2026-09-30T08:38:59Z</dcterms:modified>
  <dc:title>李建法</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CAF24BDBAB1B4B7BA009EC0A1201E2E7_13</vt:lpwstr>
  </property>
  <property fmtid="{D5CDD505-2E9C-101B-9397-08002B2CF9AE}" pid="4" name="KSOTemplateDocerSaveRecord">
    <vt:lpwstr>eyJoZGlkIjoiZTFkODMzY2YyODY1NmI5ZGQ2NjI2NTJhYTQyZGRiNWYiLCJ1c2VySWQiOiIxNTczODMwNDk2In0=</vt:lpwstr>
  </property>
</Properties>
</file>